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2B" w:rsidRPr="0077662B" w:rsidRDefault="0077662B" w:rsidP="0077662B">
      <w:pPr>
        <w:ind w:right="-81"/>
        <w:jc w:val="center"/>
        <w:rPr>
          <w:rFonts w:eastAsia="Times New Roman" w:cs="Times New Roman"/>
          <w:b/>
          <w:sz w:val="28"/>
          <w:szCs w:val="28"/>
          <w:lang w:eastAsia="lt-LT"/>
        </w:rPr>
      </w:pPr>
      <w:r w:rsidRPr="0077662B">
        <w:rPr>
          <w:rFonts w:eastAsia="Times New Roman" w:cs="Times New Roman"/>
          <w:b/>
          <w:sz w:val="28"/>
          <w:szCs w:val="28"/>
          <w:lang w:eastAsia="lt-LT"/>
        </w:rPr>
        <w:t>PANEVĖŽIO LOPŠELIS – DARŽELIS ,,TAIKA”</w:t>
      </w:r>
    </w:p>
    <w:p w:rsidR="0077662B" w:rsidRPr="0077662B" w:rsidRDefault="0077662B" w:rsidP="0077662B">
      <w:pPr>
        <w:ind w:right="-81"/>
        <w:jc w:val="center"/>
        <w:rPr>
          <w:rFonts w:eastAsia="Times New Roman" w:cs="Times New Roman"/>
          <w:b/>
          <w:sz w:val="28"/>
          <w:szCs w:val="28"/>
          <w:lang w:eastAsia="lt-LT"/>
        </w:rPr>
      </w:pPr>
      <w:r w:rsidRPr="0077662B">
        <w:rPr>
          <w:rFonts w:eastAsia="Times New Roman" w:cs="Times New Roman"/>
          <w:b/>
          <w:sz w:val="28"/>
          <w:szCs w:val="28"/>
          <w:lang w:eastAsia="lt-LT"/>
        </w:rPr>
        <w:t>2016 M. VEIKLOS ATASKAITA</w:t>
      </w:r>
    </w:p>
    <w:p w:rsidR="0077662B" w:rsidRPr="0077662B" w:rsidRDefault="0077662B" w:rsidP="0077662B">
      <w:pPr>
        <w:ind w:right="-81"/>
        <w:jc w:val="center"/>
        <w:rPr>
          <w:rFonts w:eastAsia="Times New Roman" w:cs="Times New Roman"/>
          <w:b/>
          <w:sz w:val="28"/>
          <w:szCs w:val="28"/>
          <w:lang w:eastAsia="lt-LT"/>
        </w:rPr>
      </w:pPr>
    </w:p>
    <w:p w:rsidR="0077662B" w:rsidRPr="0077662B" w:rsidRDefault="0077662B" w:rsidP="0077662B">
      <w:pPr>
        <w:ind w:right="-81"/>
        <w:jc w:val="center"/>
        <w:rPr>
          <w:rFonts w:eastAsia="Times New Roman" w:cs="Times New Roman"/>
          <w:b/>
          <w:lang w:eastAsia="lt-LT"/>
        </w:rPr>
      </w:pPr>
      <w:r w:rsidRPr="0077662B">
        <w:rPr>
          <w:rFonts w:eastAsia="Times New Roman" w:cs="Times New Roman"/>
          <w:b/>
          <w:lang w:eastAsia="lt-LT"/>
        </w:rPr>
        <w:t>2016-01-20</w:t>
      </w:r>
    </w:p>
    <w:p w:rsidR="0077662B" w:rsidRPr="0077662B" w:rsidRDefault="0077662B" w:rsidP="0077662B">
      <w:pPr>
        <w:ind w:right="-81"/>
        <w:jc w:val="center"/>
        <w:rPr>
          <w:rFonts w:eastAsia="Times New Roman" w:cs="Times New Roman"/>
          <w:b/>
          <w:lang w:eastAsia="lt-LT"/>
        </w:rPr>
      </w:pPr>
      <w:r w:rsidRPr="0077662B">
        <w:rPr>
          <w:rFonts w:eastAsia="Times New Roman" w:cs="Times New Roman"/>
          <w:b/>
          <w:lang w:eastAsia="lt-LT"/>
        </w:rPr>
        <w:t>Panevėžys</w:t>
      </w:r>
    </w:p>
    <w:p w:rsidR="0077662B" w:rsidRPr="0077662B" w:rsidRDefault="0077662B" w:rsidP="0077662B">
      <w:pPr>
        <w:ind w:right="-81"/>
        <w:jc w:val="center"/>
        <w:rPr>
          <w:rFonts w:eastAsia="Times New Roman" w:cs="Times New Roman"/>
          <w:b/>
          <w:sz w:val="28"/>
          <w:szCs w:val="28"/>
          <w:lang w:eastAsia="lt-LT"/>
        </w:rPr>
      </w:pPr>
    </w:p>
    <w:p w:rsidR="0077662B" w:rsidRPr="0077662B" w:rsidRDefault="0077662B" w:rsidP="0077662B">
      <w:pPr>
        <w:ind w:right="-81"/>
        <w:jc w:val="center"/>
        <w:rPr>
          <w:rFonts w:eastAsia="Times New Roman" w:cs="Times New Roman"/>
          <w:b/>
          <w:lang w:eastAsia="lt-LT"/>
        </w:rPr>
      </w:pPr>
      <w:r w:rsidRPr="0077662B">
        <w:rPr>
          <w:rFonts w:eastAsia="Times New Roman" w:cs="Times New Roman"/>
          <w:b/>
          <w:lang w:eastAsia="lt-LT"/>
        </w:rPr>
        <w:t>I. ĮSTAIGOS VEIKLOS ATASKAITOS SANTRAUKA</w:t>
      </w:r>
    </w:p>
    <w:p w:rsidR="0077662B" w:rsidRPr="0077662B" w:rsidRDefault="0077662B" w:rsidP="0077662B">
      <w:pPr>
        <w:ind w:right="-81"/>
        <w:jc w:val="center"/>
        <w:rPr>
          <w:rFonts w:eastAsia="Times New Roman" w:cs="Times New Roman"/>
          <w:b/>
          <w:sz w:val="28"/>
          <w:szCs w:val="28"/>
          <w:lang w:eastAsia="lt-LT"/>
        </w:rPr>
      </w:pPr>
    </w:p>
    <w:p w:rsidR="0077662B" w:rsidRPr="0077662B" w:rsidRDefault="0077662B" w:rsidP="0077662B">
      <w:pPr>
        <w:tabs>
          <w:tab w:val="left" w:pos="567"/>
        </w:tabs>
        <w:ind w:firstLine="567"/>
        <w:jc w:val="both"/>
        <w:rPr>
          <w:rFonts w:eastAsia="Times New Roman" w:cs="Times New Roman"/>
          <w:lang w:eastAsia="lt-LT"/>
        </w:rPr>
      </w:pPr>
      <w:r w:rsidRPr="0077662B">
        <w:rPr>
          <w:rFonts w:eastAsia="Times New Roman" w:cs="Times New Roman"/>
          <w:lang w:eastAsia="lt-LT"/>
        </w:rPr>
        <w:t xml:space="preserve">2016 m. Panevėžio lopšelis-darželis ,,Taika“ (toliau – lopšelis-darželis) dirbo vadovaujantis 2014-2016 m. įstaigos strateginiu planu, 2016 metų veiklos planu, Lietuvos Respublikos Švietimo ir mokslo ministerijos teisės aktais, vietos savivaldos įstatymais, lopšelio-darželio nuostatais ir kitais norminiais dokumentais.  </w:t>
      </w:r>
    </w:p>
    <w:p w:rsidR="0077662B" w:rsidRPr="0077662B" w:rsidRDefault="0077662B" w:rsidP="0077662B">
      <w:pPr>
        <w:tabs>
          <w:tab w:val="left" w:pos="567"/>
        </w:tabs>
        <w:ind w:firstLine="567"/>
        <w:jc w:val="both"/>
        <w:rPr>
          <w:rFonts w:eastAsia="Times New Roman" w:cs="Times New Roman"/>
          <w:b/>
          <w:lang w:eastAsia="lt-LT"/>
        </w:rPr>
      </w:pPr>
      <w:r w:rsidRPr="0077662B">
        <w:rPr>
          <w:rFonts w:eastAsia="Times New Roman" w:cs="Times New Roman"/>
          <w:lang w:eastAsia="lt-LT"/>
        </w:rPr>
        <w:tab/>
      </w:r>
      <w:r w:rsidRPr="0077662B">
        <w:rPr>
          <w:rFonts w:ascii="TimesNewRomanPSMT" w:eastAsia="Times New Roman" w:hAnsi="TimesNewRomanPSMT" w:cs="TimesNewRomanPSMT"/>
          <w:b/>
          <w:sz w:val="23"/>
          <w:szCs w:val="23"/>
        </w:rPr>
        <w:t>2016 m. lopšelyje-darželyje ,,Taika“</w:t>
      </w:r>
      <w:r w:rsidRPr="0077662B">
        <w:rPr>
          <w:rFonts w:eastAsia="Times New Roman" w:cs="Times New Roman"/>
          <w:b/>
          <w:lang w:eastAsia="lt-LT"/>
        </w:rPr>
        <w:t xml:space="preserve"> </w:t>
      </w:r>
      <w:r w:rsidRPr="0077662B">
        <w:rPr>
          <w:rFonts w:ascii="TimesNewRomanPSMT" w:eastAsia="Times New Roman" w:hAnsi="TimesNewRomanPSMT" w:cs="TimesNewRomanPSMT"/>
          <w:b/>
          <w:sz w:val="23"/>
          <w:szCs w:val="23"/>
        </w:rPr>
        <w:t>buvo įgyvendinami  tikslai:</w:t>
      </w:r>
    </w:p>
    <w:p w:rsidR="0077662B" w:rsidRPr="0077662B" w:rsidRDefault="0077662B" w:rsidP="0077662B">
      <w:pPr>
        <w:tabs>
          <w:tab w:val="left" w:pos="993"/>
          <w:tab w:val="left" w:pos="4320"/>
        </w:tabs>
        <w:outlineLvl w:val="0"/>
        <w:rPr>
          <w:rFonts w:eastAsia="Times New Roman" w:cs="Times New Roman"/>
          <w:bCs/>
          <w:lang w:eastAsia="lt-LT"/>
        </w:rPr>
      </w:pPr>
      <w:r w:rsidRPr="0077662B">
        <w:rPr>
          <w:rFonts w:eastAsia="Times New Roman" w:cs="Times New Roman"/>
          <w:lang w:eastAsia="lt-LT"/>
        </w:rPr>
        <w:t xml:space="preserve">1. </w:t>
      </w:r>
      <w:r w:rsidRPr="0077662B">
        <w:rPr>
          <w:rFonts w:eastAsia="Times New Roman" w:cs="Times New Roman"/>
          <w:bCs/>
          <w:lang w:eastAsia="lt-LT"/>
        </w:rPr>
        <w:t xml:space="preserve">Atsižvelgiant į kiekvieno vaiko patirtį, galias ir ugdymosi poreikius, </w:t>
      </w:r>
      <w:r w:rsidRPr="0077662B">
        <w:rPr>
          <w:rFonts w:eastAsia="Times New Roman" w:cs="Times New Roman"/>
          <w:lang w:eastAsia="lt-LT"/>
        </w:rPr>
        <w:t>užtikrinti optimalią vaiko raidą, padėti vaikui pasirengti mokytis pagal pradinio ugdymo programą.</w:t>
      </w:r>
    </w:p>
    <w:p w:rsidR="0077662B" w:rsidRPr="0077662B" w:rsidRDefault="0077662B" w:rsidP="0077662B">
      <w:pPr>
        <w:tabs>
          <w:tab w:val="left" w:pos="720"/>
        </w:tabs>
        <w:jc w:val="both"/>
        <w:outlineLvl w:val="5"/>
        <w:rPr>
          <w:rFonts w:eastAsia="Times New Roman" w:cs="Times New Roman"/>
          <w:bCs/>
        </w:rPr>
      </w:pPr>
      <w:r w:rsidRPr="0077662B">
        <w:rPr>
          <w:rFonts w:eastAsia="Arial Unicode MS" w:cs="Times New Roman"/>
          <w:bCs/>
        </w:rPr>
        <w:t>2. Kurti</w:t>
      </w:r>
      <w:r w:rsidRPr="0077662B">
        <w:rPr>
          <w:rFonts w:eastAsia="Times New Roman" w:cs="Times New Roman"/>
          <w:bCs/>
        </w:rPr>
        <w:t xml:space="preserve"> sveikuolišką, saugią, sveiką, mobilią ugdymo (si)  ir darbo </w:t>
      </w:r>
      <w:r w:rsidRPr="0077662B">
        <w:rPr>
          <w:rFonts w:eastAsia="Arial Unicode MS" w:cs="Times New Roman"/>
          <w:bCs/>
        </w:rPr>
        <w:t>aplinką.</w:t>
      </w:r>
    </w:p>
    <w:p w:rsidR="0077662B" w:rsidRPr="0077662B" w:rsidRDefault="0077662B" w:rsidP="0077662B">
      <w:pPr>
        <w:rPr>
          <w:rFonts w:eastAsia="Times New Roman" w:cs="Times New Roman"/>
          <w:lang w:eastAsia="lt-LT"/>
        </w:rPr>
      </w:pPr>
      <w:r w:rsidRPr="0077662B">
        <w:rPr>
          <w:rFonts w:eastAsia="Times New Roman" w:cs="Times New Roman"/>
          <w:color w:val="000000"/>
          <w:lang w:eastAsia="lt-LT"/>
        </w:rPr>
        <w:t xml:space="preserve">3. </w:t>
      </w:r>
      <w:r w:rsidRPr="0077662B">
        <w:rPr>
          <w:rFonts w:eastAsia="Times New Roman" w:cs="Times New Roman"/>
          <w:lang w:eastAsia="lt-LT"/>
        </w:rPr>
        <w:t xml:space="preserve">Skatinti mokytojų kūrybiškumą, konkurencingumą,  iniciatyvumą vaikų ugdymo paslaugų kokybės ir prieinamumo užtikrinimui. </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 xml:space="preserve">         Tikslams įgyvendinti parengtas 2016 m. veiklos planas</w:t>
      </w:r>
      <w:r w:rsidRPr="0077662B">
        <w:rPr>
          <w:rFonts w:eastAsia="Times New Roman" w:cs="Times New Roman"/>
          <w:i/>
          <w:lang w:eastAsia="lt-LT"/>
        </w:rPr>
        <w:t>,</w:t>
      </w:r>
      <w:r w:rsidRPr="0077662B">
        <w:rPr>
          <w:rFonts w:eastAsia="Times New Roman" w:cs="Times New Roman"/>
          <w:lang w:eastAsia="lt-LT"/>
        </w:rPr>
        <w:t xml:space="preserve"> patvirtintas 2016-01-27 direktoriaus įsakymu Nr. VĮ-05. Veiklos planas parengtas atsižvelgiant į ugdytinių tėvų, mokytojų ir  darbuotojų siūlymus. </w:t>
      </w:r>
    </w:p>
    <w:p w:rsidR="0077662B" w:rsidRPr="0077662B" w:rsidRDefault="0077662B" w:rsidP="0077662B">
      <w:pPr>
        <w:ind w:firstLine="567"/>
        <w:jc w:val="both"/>
        <w:rPr>
          <w:rFonts w:eastAsia="Times New Roman" w:cs="Times New Roman"/>
          <w:lang w:eastAsia="lt-LT"/>
        </w:rPr>
      </w:pPr>
      <w:r w:rsidRPr="0077662B">
        <w:rPr>
          <w:rFonts w:eastAsia="Times New Roman" w:cs="Times New Roman"/>
          <w:lang w:eastAsia="lt-LT"/>
        </w:rPr>
        <w:t>Lopšelyje – darželyje ,,Taika“ 2016 metais veikė  9 vaikų grupės, iš jų 3 ankstyvojo amžiaus, 4 ikimokyklinio amžiaus, 1 jungtinė ikimokyklinio ir priešmokyklinio amžiaus, 1 priešmokyklinio amžiaus vaikų grupė. Vaikų poreikių tenkinimui buvo skiriamos papildomos patalpos: sveikatai stiprinti ir saugumo įgūdžiams lavinti įrengta ir naudojama sporto salė, meninis ugdymas buvo organizuojamas renginių salėje, vaikų maitinimui veikė valgykla, ,,Voriukų“ grupės vaikams įrengtas atskiras miegamasis. 2016 metais Panevėžio lopšelį – darželį  „Taika“ vidutiniškai lankė 150 vaikai, tame tarpe 39 ankstyvojo,  82 ikimokyklinio amžiaus ir 29 priešmokyklinio amžiaus vaikai.</w:t>
      </w:r>
    </w:p>
    <w:p w:rsidR="0077662B" w:rsidRPr="0077662B" w:rsidRDefault="0077662B" w:rsidP="0077662B">
      <w:pPr>
        <w:jc w:val="center"/>
        <w:rPr>
          <w:rFonts w:eastAsia="Times New Roman" w:cs="Times New Roman"/>
          <w:lang w:eastAsia="lt-LT"/>
        </w:rPr>
      </w:pPr>
    </w:p>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 xml:space="preserve">.                       </w:t>
      </w:r>
      <w:r w:rsidRPr="0077662B">
        <w:rPr>
          <w:rFonts w:eastAsia="Times New Roman" w:cs="Times New Roman"/>
          <w:b/>
          <w:lang w:eastAsia="lt-LT"/>
        </w:rPr>
        <w:t>ĮSTAIGĄ LANKANČIŲ VAIKŲ SKAIČIAUS POKYČIAI</w:t>
      </w:r>
    </w:p>
    <w:tbl>
      <w:tblPr>
        <w:tblpPr w:leftFromText="180" w:rightFromText="180" w:vertAnchor="text" w:tblpY="1"/>
        <w:tblOverlap w:val="never"/>
        <w:tblW w:w="97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6"/>
      </w:tblGrid>
      <w:tr w:rsidR="0077662B" w:rsidRPr="0077662B" w:rsidTr="00CC772F">
        <w:trPr>
          <w:trHeight w:val="98"/>
        </w:trPr>
        <w:tc>
          <w:tcPr>
            <w:tcW w:w="9786" w:type="dxa"/>
            <w:tcBorders>
              <w:top w:val="nil"/>
              <w:left w:val="nil"/>
              <w:bottom w:val="nil"/>
              <w:right w:val="nil"/>
            </w:tcBorders>
          </w:tcPr>
          <w:p w:rsidR="0077662B" w:rsidRPr="0077662B" w:rsidRDefault="0077662B" w:rsidP="0077662B">
            <w:pPr>
              <w:jc w:val="center"/>
              <w:rPr>
                <w:rFonts w:eastAsia="Times New Roman" w:cs="Times New Roman"/>
                <w:color w:val="FFFFFF" w:themeColor="background1"/>
                <w:lang w:eastAsia="lt-LT"/>
                <w14:textFill>
                  <w14:noFill/>
                </w14:textFill>
              </w:rPr>
            </w:pPr>
            <w:r w:rsidRPr="0077662B">
              <w:rPr>
                <w:rFonts w:eastAsia="Times New Roman" w:cs="Times New Roman"/>
                <w:noProof/>
                <w:lang w:eastAsia="lt-LT"/>
              </w:rPr>
              <w:drawing>
                <wp:inline distT="0" distB="0" distL="0" distR="0" wp14:anchorId="49408611" wp14:editId="4B640F38">
                  <wp:extent cx="6076950" cy="1638300"/>
                  <wp:effectExtent l="0" t="38100" r="0" b="0"/>
                  <wp:docPr id="6" name="Diagrama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7662B" w:rsidRPr="0077662B" w:rsidRDefault="0077662B" w:rsidP="0077662B">
            <w:pPr>
              <w:tabs>
                <w:tab w:val="left" w:pos="8370"/>
              </w:tabs>
              <w:jc w:val="right"/>
              <w:rPr>
                <w:rFonts w:eastAsia="Times New Roman" w:cs="Times New Roman"/>
                <w:lang w:eastAsia="lt-LT"/>
              </w:rPr>
            </w:pPr>
            <w:r w:rsidRPr="0077662B">
              <w:rPr>
                <w:rFonts w:eastAsia="Times New Roman" w:cs="Times New Roman"/>
                <w:lang w:eastAsia="lt-LT"/>
              </w:rPr>
              <w:t>1 diagrama</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 xml:space="preserve">Vaikų skaičius nuo 2010 m. iki 2016 m. padidėjo nuo 138 iki 150 vaikų. 2016 m. gruodžio 31 dienai sąrašinis vaikų skaičius stabilizavosi ir  siekia 146 ( +9 su koef.2). Faktinis vaikų skaičius viršija minimumą (minimumas 128 vietos – sąrašinis vaikų skaičius 146 ). Padidėjo priešmokyklinio amžiaus ugdytinių skaičius: 37 priešmokyklinio amžiaus vaikai (+ su </w:t>
            </w:r>
            <w:proofErr w:type="spellStart"/>
            <w:r w:rsidRPr="0077662B">
              <w:rPr>
                <w:rFonts w:eastAsia="Times New Roman" w:cs="Times New Roman"/>
                <w:lang w:eastAsia="lt-LT"/>
              </w:rPr>
              <w:t>koef</w:t>
            </w:r>
            <w:proofErr w:type="spellEnd"/>
            <w:r w:rsidRPr="0077662B">
              <w:rPr>
                <w:rFonts w:eastAsia="Times New Roman" w:cs="Times New Roman"/>
                <w:lang w:eastAsia="lt-LT"/>
              </w:rPr>
              <w:t>. 2). Nuo 2010 m. vidutiniškai lankė 27 - 28 priešmokyklinio amžiaus vaikai.</w:t>
            </w:r>
          </w:p>
          <w:p w:rsidR="0077662B" w:rsidRPr="0077662B" w:rsidRDefault="0077662B" w:rsidP="0077662B">
            <w:pPr>
              <w:jc w:val="both"/>
              <w:rPr>
                <w:rFonts w:eastAsia="Times New Roman" w:cs="Times New Roman"/>
                <w:lang w:eastAsia="lt-LT"/>
              </w:rPr>
            </w:pPr>
          </w:p>
          <w:p w:rsidR="0077662B" w:rsidRPr="0077662B" w:rsidRDefault="0077662B" w:rsidP="0077662B">
            <w:pPr>
              <w:tabs>
                <w:tab w:val="left" w:pos="8370"/>
              </w:tabs>
              <w:jc w:val="center"/>
              <w:rPr>
                <w:rFonts w:eastAsia="Times New Roman" w:cs="Times New Roman"/>
                <w:lang w:eastAsia="lt-LT"/>
              </w:rPr>
            </w:pPr>
            <w:r w:rsidRPr="0077662B">
              <w:rPr>
                <w:rFonts w:eastAsia="Times New Roman" w:cs="Times New Roman"/>
                <w:b/>
                <w:lang w:eastAsia="lt-LT"/>
              </w:rPr>
              <w:t>VIDUTINIO VAIKŲ SKAIČIAUS GRUPĖSE KAITA 2016 METAIS</w:t>
            </w:r>
          </w:p>
        </w:tc>
      </w:tr>
      <w:tr w:rsidR="0077662B" w:rsidRPr="0077662B" w:rsidTr="00CC772F">
        <w:trPr>
          <w:trHeight w:val="98"/>
        </w:trPr>
        <w:tc>
          <w:tcPr>
            <w:tcW w:w="9786" w:type="dxa"/>
            <w:tcBorders>
              <w:top w:val="nil"/>
              <w:left w:val="nil"/>
              <w:bottom w:val="nil"/>
              <w:right w:val="nil"/>
            </w:tcBorders>
          </w:tcPr>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318"/>
              <w:gridCol w:w="2318"/>
              <w:gridCol w:w="2317"/>
            </w:tblGrid>
            <w:tr w:rsidR="0077662B" w:rsidRPr="0077662B" w:rsidTr="00CC772F">
              <w:trPr>
                <w:trHeight w:val="272"/>
              </w:trPr>
              <w:tc>
                <w:tcPr>
                  <w:tcW w:w="9457" w:type="dxa"/>
                  <w:gridSpan w:val="4"/>
                  <w:shd w:val="clear" w:color="auto" w:fill="auto"/>
                </w:tcPr>
                <w:p w:rsidR="0077662B" w:rsidRPr="0077662B" w:rsidRDefault="0077662B" w:rsidP="0077662B">
                  <w:pPr>
                    <w:framePr w:hSpace="180" w:wrap="around" w:vAnchor="text" w:hAnchor="text" w:y="1"/>
                    <w:suppressOverlap/>
                    <w:jc w:val="center"/>
                    <w:rPr>
                      <w:rFonts w:eastAsia="Times New Roman" w:cs="Times New Roman"/>
                      <w:b/>
                      <w:sz w:val="22"/>
                      <w:szCs w:val="22"/>
                      <w:lang w:eastAsia="lt-LT"/>
                    </w:rPr>
                  </w:pPr>
                  <w:r w:rsidRPr="0077662B">
                    <w:rPr>
                      <w:rFonts w:eastAsia="Times New Roman" w:cs="Times New Roman"/>
                      <w:b/>
                      <w:sz w:val="22"/>
                      <w:szCs w:val="22"/>
                      <w:lang w:eastAsia="lt-LT"/>
                    </w:rPr>
                    <w:t>Atvykusių vaikų skaičius</w:t>
                  </w:r>
                </w:p>
              </w:tc>
            </w:tr>
            <w:tr w:rsidR="0077662B" w:rsidRPr="0077662B" w:rsidTr="00CC772F">
              <w:trPr>
                <w:trHeight w:val="272"/>
              </w:trPr>
              <w:tc>
                <w:tcPr>
                  <w:tcW w:w="2504"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1-3 metų</w:t>
                  </w:r>
                </w:p>
              </w:tc>
              <w:tc>
                <w:tcPr>
                  <w:tcW w:w="2318"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3-5 metų</w:t>
                  </w:r>
                </w:p>
              </w:tc>
              <w:tc>
                <w:tcPr>
                  <w:tcW w:w="2318"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 xml:space="preserve">6 metų </w:t>
                  </w:r>
                </w:p>
              </w:tc>
              <w:tc>
                <w:tcPr>
                  <w:tcW w:w="2317"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viso</w:t>
                  </w:r>
                </w:p>
              </w:tc>
            </w:tr>
            <w:tr w:rsidR="0077662B" w:rsidRPr="0077662B" w:rsidTr="00CC772F">
              <w:trPr>
                <w:trHeight w:val="272"/>
              </w:trPr>
              <w:tc>
                <w:tcPr>
                  <w:tcW w:w="2504"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32</w:t>
                  </w:r>
                </w:p>
              </w:tc>
              <w:tc>
                <w:tcPr>
                  <w:tcW w:w="2318"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5</w:t>
                  </w:r>
                </w:p>
              </w:tc>
              <w:tc>
                <w:tcPr>
                  <w:tcW w:w="2318"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2</w:t>
                  </w:r>
                </w:p>
              </w:tc>
              <w:tc>
                <w:tcPr>
                  <w:tcW w:w="2317"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39</w:t>
                  </w:r>
                </w:p>
              </w:tc>
            </w:tr>
            <w:tr w:rsidR="0077662B" w:rsidRPr="0077662B" w:rsidTr="00CC772F">
              <w:trPr>
                <w:trHeight w:val="272"/>
              </w:trPr>
              <w:tc>
                <w:tcPr>
                  <w:tcW w:w="9457" w:type="dxa"/>
                  <w:gridSpan w:val="4"/>
                  <w:shd w:val="clear" w:color="auto" w:fill="auto"/>
                </w:tcPr>
                <w:p w:rsidR="0077662B" w:rsidRPr="0077662B" w:rsidRDefault="0077662B" w:rsidP="0077662B">
                  <w:pPr>
                    <w:framePr w:hSpace="180" w:wrap="around" w:vAnchor="text" w:hAnchor="text" w:y="1"/>
                    <w:suppressOverlap/>
                    <w:jc w:val="center"/>
                    <w:rPr>
                      <w:rFonts w:eastAsia="Times New Roman" w:cs="Times New Roman"/>
                      <w:b/>
                      <w:sz w:val="22"/>
                      <w:szCs w:val="22"/>
                      <w:lang w:eastAsia="lt-LT"/>
                    </w:rPr>
                  </w:pPr>
                  <w:r w:rsidRPr="0077662B">
                    <w:rPr>
                      <w:rFonts w:eastAsia="Times New Roman" w:cs="Times New Roman"/>
                      <w:b/>
                      <w:sz w:val="22"/>
                      <w:szCs w:val="22"/>
                      <w:lang w:eastAsia="lt-LT"/>
                    </w:rPr>
                    <w:t>Išvykusių vaikų skaičius</w:t>
                  </w:r>
                </w:p>
              </w:tc>
            </w:tr>
            <w:tr w:rsidR="0077662B" w:rsidRPr="0077662B" w:rsidTr="00CC772F">
              <w:trPr>
                <w:trHeight w:val="272"/>
              </w:trPr>
              <w:tc>
                <w:tcPr>
                  <w:tcW w:w="2504"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1-3 metų</w:t>
                  </w:r>
                </w:p>
              </w:tc>
              <w:tc>
                <w:tcPr>
                  <w:tcW w:w="2318"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 xml:space="preserve">3-5 metų </w:t>
                  </w:r>
                </w:p>
              </w:tc>
              <w:tc>
                <w:tcPr>
                  <w:tcW w:w="2318"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6 metų</w:t>
                  </w:r>
                </w:p>
              </w:tc>
              <w:tc>
                <w:tcPr>
                  <w:tcW w:w="2317"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viso</w:t>
                  </w:r>
                </w:p>
              </w:tc>
            </w:tr>
            <w:tr w:rsidR="0077662B" w:rsidRPr="0077662B" w:rsidTr="00CC772F">
              <w:trPr>
                <w:trHeight w:val="287"/>
              </w:trPr>
              <w:tc>
                <w:tcPr>
                  <w:tcW w:w="2504"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7</w:t>
                  </w:r>
                </w:p>
              </w:tc>
              <w:tc>
                <w:tcPr>
                  <w:tcW w:w="2318"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14</w:t>
                  </w:r>
                </w:p>
              </w:tc>
              <w:tc>
                <w:tcPr>
                  <w:tcW w:w="2318"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29</w:t>
                  </w:r>
                </w:p>
              </w:tc>
              <w:tc>
                <w:tcPr>
                  <w:tcW w:w="2317" w:type="dxa"/>
                  <w:shd w:val="clear" w:color="auto" w:fill="auto"/>
                </w:tcPr>
                <w:p w:rsidR="0077662B" w:rsidRPr="0077662B" w:rsidRDefault="0077662B" w:rsidP="0077662B">
                  <w:pPr>
                    <w:framePr w:hSpace="180" w:wrap="around" w:vAnchor="text" w:hAnchor="text" w:y="1"/>
                    <w:suppressOverlap/>
                    <w:jc w:val="center"/>
                    <w:rPr>
                      <w:rFonts w:eastAsia="Times New Roman" w:cs="Times New Roman"/>
                      <w:sz w:val="22"/>
                      <w:szCs w:val="22"/>
                      <w:lang w:eastAsia="lt-LT"/>
                    </w:rPr>
                  </w:pPr>
                  <w:r w:rsidRPr="0077662B">
                    <w:rPr>
                      <w:rFonts w:eastAsia="Times New Roman" w:cs="Times New Roman"/>
                      <w:sz w:val="22"/>
                      <w:szCs w:val="22"/>
                      <w:lang w:eastAsia="lt-LT"/>
                    </w:rPr>
                    <w:t>50</w:t>
                  </w:r>
                </w:p>
              </w:tc>
            </w:tr>
          </w:tbl>
          <w:p w:rsidR="0077662B" w:rsidRPr="0077662B" w:rsidRDefault="0077662B" w:rsidP="0077662B">
            <w:pPr>
              <w:rPr>
                <w:rFonts w:eastAsia="Times New Roman" w:cs="Times New Roman"/>
                <w:lang w:eastAsia="lt-LT"/>
              </w:rPr>
            </w:pPr>
          </w:p>
        </w:tc>
      </w:tr>
    </w:tbl>
    <w:p w:rsidR="0077662B" w:rsidRPr="0077662B" w:rsidRDefault="0077662B" w:rsidP="0077662B">
      <w:pPr>
        <w:jc w:val="right"/>
        <w:rPr>
          <w:rFonts w:eastAsia="Times New Roman" w:cs="Times New Roman"/>
          <w:lang w:eastAsia="lt-LT"/>
        </w:rPr>
      </w:pPr>
      <w:r w:rsidRPr="0077662B">
        <w:rPr>
          <w:rFonts w:eastAsia="Times New Roman" w:cs="Times New Roman"/>
          <w:lang w:eastAsia="lt-LT"/>
        </w:rPr>
        <w:t>1 lentelė.</w:t>
      </w:r>
    </w:p>
    <w:p w:rsidR="0077662B" w:rsidRPr="0077662B" w:rsidRDefault="0077662B" w:rsidP="0077662B">
      <w:pPr>
        <w:rPr>
          <w:rFonts w:eastAsia="Times New Roman" w:cs="Times New Roman"/>
          <w:lang w:eastAsia="lt-LT"/>
        </w:rPr>
      </w:pPr>
      <w:r w:rsidRPr="0077662B">
        <w:rPr>
          <w:rFonts w:eastAsia="Times New Roman" w:cs="Times New Roman"/>
          <w:lang w:eastAsia="lt-LT"/>
        </w:rPr>
        <w:lastRenderedPageBreak/>
        <w:t>2016 m. sausio-gruodžio mėnesiais stebimas didesnis išvykstančių iš įstaigos vaikų skaičius. 2016 metais į įstaigą buvo priimta 39 vaikai, metų bėgyje išvyko 50 vaikų.  2016 metais didžiausią išvykimų dalį sudaro priešmokyklinio amžiaus vaikai - 27, kurie išvyko į mokyklas. Kiti atvejai: mokyklos keitimas – 9  vaikai, tėvų noru – 7 vaikai, gyvenamosios vietos keitimas -  6 vaikai,  į užsienį – 1 vaikas. 2016 metais nemažai vaikų rinkosi kitas mokyklas, nes dauguma tėvų rinkosi naujai renovuotus darželius.</w:t>
      </w:r>
    </w:p>
    <w:p w:rsidR="0077662B" w:rsidRPr="0077662B" w:rsidRDefault="0077662B" w:rsidP="0077662B">
      <w:pPr>
        <w:jc w:val="center"/>
        <w:rPr>
          <w:rFonts w:eastAsia="Times New Roman" w:cs="Times New Roman"/>
          <w:b/>
          <w:lang w:eastAsia="lt-LT"/>
        </w:rPr>
      </w:pPr>
    </w:p>
    <w:p w:rsidR="0077662B" w:rsidRPr="0077662B" w:rsidRDefault="0077662B" w:rsidP="0077662B">
      <w:pPr>
        <w:jc w:val="center"/>
        <w:rPr>
          <w:rFonts w:eastAsia="Times New Roman" w:cs="Times New Roman"/>
          <w:b/>
          <w:lang w:eastAsia="lt-LT"/>
        </w:rPr>
      </w:pPr>
      <w:r w:rsidRPr="0077662B">
        <w:rPr>
          <w:rFonts w:eastAsia="Times New Roman" w:cs="Times New Roman"/>
          <w:b/>
          <w:lang w:eastAsia="lt-LT"/>
        </w:rPr>
        <w:t>APTARNAUJAMA MOKYKLOS TERITORIJA 2016 METAIS</w:t>
      </w:r>
    </w:p>
    <w:p w:rsidR="0077662B" w:rsidRPr="0077662B" w:rsidRDefault="0077662B" w:rsidP="0077662B">
      <w:pPr>
        <w:rPr>
          <w:rFonts w:eastAsia="Times New Roman" w:cs="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520"/>
        <w:gridCol w:w="1778"/>
        <w:gridCol w:w="1556"/>
        <w:gridCol w:w="1673"/>
        <w:gridCol w:w="1778"/>
      </w:tblGrid>
      <w:tr w:rsidR="0077662B" w:rsidRPr="0077662B" w:rsidTr="00CC772F">
        <w:tc>
          <w:tcPr>
            <w:tcW w:w="4904" w:type="dxa"/>
            <w:gridSpan w:val="3"/>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 xml:space="preserve">Mokyklos vaikų skaičius grupėse( </w:t>
            </w:r>
            <w:proofErr w:type="spellStart"/>
            <w:r w:rsidRPr="0077662B">
              <w:rPr>
                <w:rFonts w:eastAsia="Times New Roman" w:cs="Times New Roman"/>
                <w:sz w:val="22"/>
                <w:szCs w:val="22"/>
                <w:lang w:eastAsia="lt-LT"/>
              </w:rPr>
              <w:t>vidut</w:t>
            </w:r>
            <w:proofErr w:type="spellEnd"/>
            <w:r w:rsidRPr="0077662B">
              <w:rPr>
                <w:rFonts w:eastAsia="Times New Roman" w:cs="Times New Roman"/>
                <w:sz w:val="22"/>
                <w:szCs w:val="22"/>
                <w:lang w:eastAsia="lt-LT"/>
              </w:rPr>
              <w:t>.)</w:t>
            </w:r>
          </w:p>
        </w:tc>
        <w:tc>
          <w:tcPr>
            <w:tcW w:w="5007" w:type="dxa"/>
            <w:gridSpan w:val="3"/>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Kitų savivaldybių vaikų skaičius grupėse (</w:t>
            </w:r>
            <w:proofErr w:type="spellStart"/>
            <w:r w:rsidRPr="0077662B">
              <w:rPr>
                <w:rFonts w:eastAsia="Times New Roman" w:cs="Times New Roman"/>
                <w:sz w:val="22"/>
                <w:szCs w:val="22"/>
                <w:lang w:eastAsia="lt-LT"/>
              </w:rPr>
              <w:t>vidut</w:t>
            </w:r>
            <w:proofErr w:type="spellEnd"/>
            <w:r w:rsidRPr="0077662B">
              <w:rPr>
                <w:rFonts w:eastAsia="Times New Roman" w:cs="Times New Roman"/>
                <w:sz w:val="22"/>
                <w:szCs w:val="22"/>
                <w:lang w:eastAsia="lt-LT"/>
              </w:rPr>
              <w:t>.)</w:t>
            </w:r>
          </w:p>
        </w:tc>
      </w:tr>
      <w:tr w:rsidR="0077662B" w:rsidRPr="0077662B" w:rsidTr="00CC772F">
        <w:tc>
          <w:tcPr>
            <w:tcW w:w="1606"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lopšelio</w:t>
            </w:r>
          </w:p>
        </w:tc>
        <w:tc>
          <w:tcPr>
            <w:tcW w:w="1520"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darželio</w:t>
            </w:r>
          </w:p>
        </w:tc>
        <w:tc>
          <w:tcPr>
            <w:tcW w:w="1778"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priešmokyklinio</w:t>
            </w:r>
          </w:p>
        </w:tc>
        <w:tc>
          <w:tcPr>
            <w:tcW w:w="1556"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lopšelio</w:t>
            </w:r>
          </w:p>
        </w:tc>
        <w:tc>
          <w:tcPr>
            <w:tcW w:w="1673"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darželio</w:t>
            </w:r>
          </w:p>
        </w:tc>
        <w:tc>
          <w:tcPr>
            <w:tcW w:w="1778"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priešmokyklinio</w:t>
            </w:r>
          </w:p>
        </w:tc>
      </w:tr>
      <w:tr w:rsidR="0077662B" w:rsidRPr="0077662B" w:rsidTr="00CC772F">
        <w:tc>
          <w:tcPr>
            <w:tcW w:w="1606"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36</w:t>
            </w:r>
          </w:p>
        </w:tc>
        <w:tc>
          <w:tcPr>
            <w:tcW w:w="1520"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80</w:t>
            </w:r>
          </w:p>
        </w:tc>
        <w:tc>
          <w:tcPr>
            <w:tcW w:w="1778"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30</w:t>
            </w:r>
          </w:p>
        </w:tc>
        <w:tc>
          <w:tcPr>
            <w:tcW w:w="1556"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2</w:t>
            </w:r>
          </w:p>
        </w:tc>
        <w:tc>
          <w:tcPr>
            <w:tcW w:w="1673"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1</w:t>
            </w:r>
          </w:p>
        </w:tc>
        <w:tc>
          <w:tcPr>
            <w:tcW w:w="1778"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4</w:t>
            </w:r>
          </w:p>
        </w:tc>
      </w:tr>
    </w:tbl>
    <w:p w:rsidR="0077662B" w:rsidRPr="0077662B" w:rsidRDefault="0077662B" w:rsidP="0077662B">
      <w:pPr>
        <w:jc w:val="right"/>
        <w:rPr>
          <w:rFonts w:eastAsia="Times New Roman" w:cs="Times New Roman"/>
          <w:lang w:eastAsia="lt-LT"/>
        </w:rPr>
      </w:pPr>
      <w:r w:rsidRPr="0077662B">
        <w:rPr>
          <w:rFonts w:eastAsia="Times New Roman" w:cs="Times New Roman"/>
          <w:lang w:eastAsia="lt-LT"/>
        </w:rPr>
        <w:t>2 lentelė</w:t>
      </w:r>
    </w:p>
    <w:p w:rsidR="0077662B" w:rsidRPr="0077662B" w:rsidRDefault="0077662B" w:rsidP="0077662B">
      <w:pPr>
        <w:rPr>
          <w:rFonts w:eastAsia="Times New Roman" w:cs="Times New Roman"/>
          <w:lang w:eastAsia="lt-LT"/>
        </w:rPr>
      </w:pPr>
      <w:r w:rsidRPr="0077662B">
        <w:rPr>
          <w:rFonts w:eastAsia="Times New Roman" w:cs="Times New Roman"/>
          <w:lang w:eastAsia="lt-LT"/>
        </w:rPr>
        <w:t>2016 m. vidutinis sąrašinis ugdytinių skaičius  146 vaikai. Lopšelio vidutiniškai 36, darželio 80, priešmokyklinio amžiaus 30 vaikų. Iš kitų savivaldybių lankė 7 vaikai, 3 iš jų ikimokyklinio amžiaus, 4 priešmokyklinio amžiaus. Visi 7 vaikai atvyko iš Panevėžio rajono savivaldybės . 2 lentelė.</w:t>
      </w:r>
    </w:p>
    <w:p w:rsidR="0077662B" w:rsidRPr="0077662B" w:rsidRDefault="0077662B" w:rsidP="0077662B">
      <w:pPr>
        <w:rPr>
          <w:rFonts w:eastAsia="Times New Roman" w:cs="Times New Roman"/>
          <w:lang w:eastAsia="lt-LT"/>
        </w:rPr>
      </w:pPr>
      <w:r w:rsidRPr="0077662B">
        <w:rPr>
          <w:rFonts w:eastAsia="Times New Roman" w:cs="Times New Roman"/>
          <w:lang w:eastAsia="lt-LT"/>
        </w:rPr>
        <w:t>2016 metais patenkinti visi tėvų prašymai dėl vaikų priėmimo į lopšelio-darželio grupes</w:t>
      </w:r>
      <w:r w:rsidRPr="0077662B">
        <w:rPr>
          <w:rFonts w:eastAsia="Times New Roman" w:cs="Times New Roman"/>
          <w:b/>
          <w:lang w:eastAsia="lt-LT"/>
        </w:rPr>
        <w:t xml:space="preserve">. </w:t>
      </w:r>
    </w:p>
    <w:p w:rsidR="0077662B" w:rsidRPr="0077662B" w:rsidRDefault="0077662B" w:rsidP="0077662B">
      <w:pPr>
        <w:rPr>
          <w:rFonts w:eastAsia="Times New Roman" w:cs="Times New Roman"/>
          <w:lang w:eastAsia="lt-LT"/>
        </w:rPr>
      </w:pPr>
    </w:p>
    <w:p w:rsidR="0077662B" w:rsidRPr="0077662B" w:rsidRDefault="0077662B" w:rsidP="0077662B">
      <w:pPr>
        <w:jc w:val="center"/>
        <w:rPr>
          <w:rFonts w:eastAsia="Times New Roman" w:cs="Times New Roman"/>
          <w:b/>
          <w:lang w:eastAsia="lt-LT"/>
        </w:rPr>
      </w:pPr>
      <w:r w:rsidRPr="0077662B">
        <w:rPr>
          <w:rFonts w:eastAsia="Times New Roman" w:cs="Times New Roman"/>
          <w:b/>
          <w:lang w:eastAsia="lt-LT"/>
        </w:rPr>
        <w:t>MOKYKLOS SOCIALINIS KONTEKSTAS 2016 METAIS</w:t>
      </w:r>
    </w:p>
    <w:p w:rsidR="0077662B" w:rsidRPr="0077662B" w:rsidRDefault="0077662B" w:rsidP="0077662B">
      <w:pPr>
        <w:rPr>
          <w:rFonts w:eastAsia="Times New Roman" w:cs="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43"/>
      </w:tblGrid>
      <w:tr w:rsidR="0077662B" w:rsidRPr="0077662B" w:rsidTr="00CC772F">
        <w:tc>
          <w:tcPr>
            <w:tcW w:w="4968"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Vaikai likę be tėvų globos</w:t>
            </w:r>
          </w:p>
        </w:tc>
        <w:tc>
          <w:tcPr>
            <w:tcW w:w="4943"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w:t>
            </w:r>
          </w:p>
        </w:tc>
      </w:tr>
      <w:tr w:rsidR="0077662B" w:rsidRPr="0077662B" w:rsidTr="00CC772F">
        <w:tc>
          <w:tcPr>
            <w:tcW w:w="4968"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Vaikai iš socialiai remtinų šeimų</w:t>
            </w:r>
          </w:p>
        </w:tc>
        <w:tc>
          <w:tcPr>
            <w:tcW w:w="4943"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11</w:t>
            </w:r>
          </w:p>
        </w:tc>
      </w:tr>
      <w:tr w:rsidR="0077662B" w:rsidRPr="0077662B" w:rsidTr="00CC772F">
        <w:tc>
          <w:tcPr>
            <w:tcW w:w="4968"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Vaikai augantys nepilnose šeimose</w:t>
            </w:r>
          </w:p>
        </w:tc>
        <w:tc>
          <w:tcPr>
            <w:tcW w:w="4943"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1</w:t>
            </w:r>
          </w:p>
        </w:tc>
      </w:tr>
      <w:tr w:rsidR="0077662B" w:rsidRPr="0077662B" w:rsidTr="00CC772F">
        <w:tc>
          <w:tcPr>
            <w:tcW w:w="4968"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Vaikai iš šeimų, auginančių tris ar daugiau vaikų</w:t>
            </w:r>
          </w:p>
        </w:tc>
        <w:tc>
          <w:tcPr>
            <w:tcW w:w="4943"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15</w:t>
            </w:r>
          </w:p>
        </w:tc>
      </w:tr>
      <w:tr w:rsidR="0077662B" w:rsidRPr="0077662B" w:rsidTr="00CC772F">
        <w:tc>
          <w:tcPr>
            <w:tcW w:w="4968"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Viso: 27  socialiai remiamos šeimos.</w:t>
            </w:r>
          </w:p>
        </w:tc>
        <w:tc>
          <w:tcPr>
            <w:tcW w:w="4943" w:type="dxa"/>
            <w:shd w:val="clear" w:color="auto" w:fill="auto"/>
          </w:tcPr>
          <w:p w:rsidR="0077662B" w:rsidRPr="0077662B" w:rsidRDefault="0077662B" w:rsidP="0077662B">
            <w:pPr>
              <w:jc w:val="center"/>
              <w:rPr>
                <w:rFonts w:eastAsia="Times New Roman" w:cs="Times New Roman"/>
                <w:sz w:val="22"/>
                <w:szCs w:val="22"/>
                <w:lang w:eastAsia="lt-LT"/>
              </w:rPr>
            </w:pPr>
            <w:r w:rsidRPr="0077662B">
              <w:rPr>
                <w:rFonts w:eastAsia="Times New Roman" w:cs="Times New Roman"/>
                <w:sz w:val="22"/>
                <w:szCs w:val="22"/>
                <w:lang w:eastAsia="lt-LT"/>
              </w:rPr>
              <w:t>27</w:t>
            </w:r>
          </w:p>
        </w:tc>
      </w:tr>
    </w:tbl>
    <w:p w:rsidR="0077662B" w:rsidRPr="0077662B" w:rsidRDefault="0077662B" w:rsidP="0077662B">
      <w:pPr>
        <w:autoSpaceDE w:val="0"/>
        <w:autoSpaceDN w:val="0"/>
        <w:adjustRightInd w:val="0"/>
        <w:jc w:val="right"/>
        <w:rPr>
          <w:rFonts w:eastAsia="Times New Roman" w:cs="Times New Roman"/>
          <w:sz w:val="20"/>
          <w:szCs w:val="20"/>
          <w:lang w:eastAsia="lt-LT"/>
        </w:rPr>
      </w:pPr>
      <w:r w:rsidRPr="0077662B">
        <w:rPr>
          <w:rFonts w:eastAsia="Times New Roman" w:cs="Times New Roman"/>
          <w:lang w:eastAsia="lt-LT"/>
        </w:rPr>
        <w:t>3 lentelė</w:t>
      </w:r>
    </w:p>
    <w:p w:rsidR="0077662B" w:rsidRPr="0077662B" w:rsidRDefault="0077662B" w:rsidP="0077662B">
      <w:pPr>
        <w:autoSpaceDE w:val="0"/>
        <w:autoSpaceDN w:val="0"/>
        <w:adjustRightInd w:val="0"/>
        <w:jc w:val="both"/>
        <w:rPr>
          <w:rFonts w:eastAsia="Times New Roman" w:cs="Times New Roman"/>
          <w:lang w:eastAsia="lt-LT"/>
        </w:rPr>
      </w:pPr>
      <w:r w:rsidRPr="0077662B">
        <w:rPr>
          <w:rFonts w:eastAsia="Times New Roman" w:cs="Times New Roman"/>
          <w:lang w:eastAsia="lt-LT"/>
        </w:rPr>
        <w:t>2015 metais gerėjo lopšelį-darželį ,,Taika“ lankančių vaikų šeimų socialinė padėtis. 2013 metais buvo 43 socialiai remiamos šeimos, 2014 metais 29 socialiai remiamos šeimos. 2015 m. 28 socialiai remiamos šeimos, 2016 m.  27 socialiai remiamos šeimos.   3 lentelė.</w:t>
      </w:r>
    </w:p>
    <w:p w:rsidR="0077662B" w:rsidRPr="0077662B" w:rsidRDefault="0077662B" w:rsidP="0077662B">
      <w:pPr>
        <w:autoSpaceDE w:val="0"/>
        <w:autoSpaceDN w:val="0"/>
        <w:adjustRightInd w:val="0"/>
        <w:jc w:val="both"/>
        <w:rPr>
          <w:rFonts w:eastAsia="Times New Roman" w:cs="Times New Roman"/>
          <w:lang w:eastAsia="lt-LT"/>
        </w:rPr>
      </w:pPr>
    </w:p>
    <w:p w:rsidR="0077662B" w:rsidRPr="0077662B" w:rsidRDefault="0077662B" w:rsidP="0077662B">
      <w:pPr>
        <w:autoSpaceDE w:val="0"/>
        <w:autoSpaceDN w:val="0"/>
        <w:adjustRightInd w:val="0"/>
        <w:jc w:val="center"/>
        <w:rPr>
          <w:rFonts w:eastAsia="Times New Roman" w:cs="Times New Roman"/>
          <w:b/>
          <w:lang w:eastAsia="lt-LT"/>
        </w:rPr>
      </w:pPr>
      <w:r w:rsidRPr="0077662B">
        <w:rPr>
          <w:rFonts w:eastAsia="Times New Roman" w:cs="Times New Roman"/>
          <w:b/>
          <w:lang w:eastAsia="lt-LT"/>
        </w:rPr>
        <w:t>MOKESTIS UŽ  VAIKŲ IŠLAIKYMĄ 2016 METAIS</w:t>
      </w:r>
    </w:p>
    <w:p w:rsidR="0077662B" w:rsidRPr="0077662B" w:rsidRDefault="0077662B" w:rsidP="0077662B">
      <w:pPr>
        <w:autoSpaceDE w:val="0"/>
        <w:autoSpaceDN w:val="0"/>
        <w:adjustRightInd w:val="0"/>
        <w:jc w:val="center"/>
        <w:rPr>
          <w:rFonts w:eastAsia="Times New Roman" w:cs="TimesNewRomanPSMT"/>
          <w:lang w:eastAsia="lt-LT"/>
        </w:rPr>
      </w:pPr>
      <w:r w:rsidRPr="0077662B">
        <w:rPr>
          <w:rFonts w:eastAsia="Times New Roman" w:cs="TimesNewRomanPSMT"/>
          <w:noProof/>
          <w:lang w:eastAsia="lt-LT"/>
        </w:rPr>
        <w:drawing>
          <wp:inline distT="0" distB="0" distL="0" distR="0" wp14:anchorId="58A8B767" wp14:editId="5B90BF03">
            <wp:extent cx="5029200" cy="1560195"/>
            <wp:effectExtent l="0" t="0" r="0" b="1905"/>
            <wp:docPr id="5"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7662B" w:rsidRPr="0077662B" w:rsidRDefault="0077662B" w:rsidP="0077662B">
      <w:pPr>
        <w:autoSpaceDE w:val="0"/>
        <w:autoSpaceDN w:val="0"/>
        <w:adjustRightInd w:val="0"/>
        <w:jc w:val="right"/>
        <w:rPr>
          <w:rFonts w:eastAsia="Times New Roman" w:cs="Times New Roman"/>
          <w:lang w:eastAsia="lt-LT"/>
        </w:rPr>
      </w:pPr>
      <w:r w:rsidRPr="0077662B">
        <w:rPr>
          <w:rFonts w:eastAsia="Times New Roman" w:cs="Times New Roman"/>
          <w:lang w:eastAsia="lt-LT"/>
        </w:rPr>
        <w:t>2 diagrama.</w:t>
      </w:r>
    </w:p>
    <w:p w:rsidR="0077662B" w:rsidRPr="0077662B" w:rsidRDefault="0077662B" w:rsidP="0077662B">
      <w:pPr>
        <w:autoSpaceDE w:val="0"/>
        <w:autoSpaceDN w:val="0"/>
        <w:adjustRightInd w:val="0"/>
        <w:rPr>
          <w:rFonts w:eastAsia="Times New Roman" w:cs="TimesNewRomanPSMT"/>
          <w:lang w:eastAsia="lt-LT"/>
        </w:rPr>
      </w:pPr>
    </w:p>
    <w:p w:rsidR="0077662B" w:rsidRPr="0077662B" w:rsidRDefault="0077662B" w:rsidP="0077662B">
      <w:pPr>
        <w:autoSpaceDE w:val="0"/>
        <w:autoSpaceDN w:val="0"/>
        <w:adjustRightInd w:val="0"/>
        <w:jc w:val="both"/>
        <w:rPr>
          <w:rFonts w:ascii="TimesNewRomanPSMT" w:eastAsia="Times New Roman" w:hAnsi="TimesNewRomanPSMT" w:cs="TimesNewRomanPSMT"/>
          <w:lang w:eastAsia="lt-LT"/>
        </w:rPr>
      </w:pPr>
      <w:r w:rsidRPr="0077662B">
        <w:rPr>
          <w:rFonts w:ascii="TimesNewRomanPSMT" w:eastAsia="Times New Roman" w:hAnsi="TimesNewRomanPSMT" w:cs="TimesNewRomanPSMT"/>
          <w:lang w:eastAsia="lt-LT"/>
        </w:rPr>
        <w:t xml:space="preserve"> </w:t>
      </w:r>
    </w:p>
    <w:p w:rsidR="0077662B" w:rsidRPr="0077662B" w:rsidRDefault="0077662B" w:rsidP="0077662B">
      <w:pPr>
        <w:autoSpaceDE w:val="0"/>
        <w:autoSpaceDN w:val="0"/>
        <w:adjustRightInd w:val="0"/>
        <w:jc w:val="both"/>
        <w:rPr>
          <w:rFonts w:ascii="TimesNewRomanPSMT" w:eastAsia="Times New Roman" w:hAnsi="TimesNewRomanPSMT" w:cs="TimesNewRomanPSMT"/>
          <w:lang w:eastAsia="lt-LT"/>
        </w:rPr>
      </w:pPr>
      <w:r w:rsidRPr="0077662B">
        <w:rPr>
          <w:rFonts w:eastAsia="Times New Roman" w:cs="Times New Roman"/>
          <w:lang w:eastAsia="lt-LT"/>
        </w:rPr>
        <w:t>2016 metais pilnai už vaikų lankymą moka 108 šeimos,18 šeimų už vaikų lankymą moka 50 procentų,</w:t>
      </w:r>
      <w:r w:rsidRPr="0077662B">
        <w:rPr>
          <w:rFonts w:ascii="TimesNewRomanPSMT" w:eastAsia="Times New Roman" w:hAnsi="TimesNewRomanPSMT" w:cs="TimesNewRomanPSMT"/>
          <w:lang w:eastAsia="lt-LT"/>
        </w:rPr>
        <w:t xml:space="preserve"> 11 šeimų atleistos nuo mokesčio už vaikų išlaikymą 100 procentų. Mokykloje 27 vaikams arba 19 procentų teikiamos logopedo paslaugos.</w:t>
      </w:r>
    </w:p>
    <w:p w:rsidR="0077662B" w:rsidRPr="0077662B" w:rsidRDefault="0077662B" w:rsidP="0077662B">
      <w:pPr>
        <w:autoSpaceDE w:val="0"/>
        <w:autoSpaceDN w:val="0"/>
        <w:adjustRightInd w:val="0"/>
        <w:jc w:val="center"/>
        <w:rPr>
          <w:rFonts w:eastAsia="Times New Roman" w:cs="Times New Roman"/>
          <w:b/>
          <w:lang w:eastAsia="lt-LT"/>
        </w:rPr>
      </w:pPr>
    </w:p>
    <w:p w:rsidR="0077662B" w:rsidRPr="0077662B" w:rsidRDefault="0077662B" w:rsidP="0077662B">
      <w:pPr>
        <w:autoSpaceDE w:val="0"/>
        <w:autoSpaceDN w:val="0"/>
        <w:adjustRightInd w:val="0"/>
        <w:jc w:val="center"/>
        <w:rPr>
          <w:rFonts w:eastAsia="Times New Roman" w:cs="Times New Roman"/>
          <w:b/>
          <w:lang w:eastAsia="lt-LT"/>
        </w:rPr>
      </w:pPr>
      <w:r w:rsidRPr="0077662B">
        <w:rPr>
          <w:rFonts w:eastAsia="Times New Roman" w:cs="Times New Roman"/>
          <w:b/>
          <w:lang w:eastAsia="lt-LT"/>
        </w:rPr>
        <w:t>MOKYKLOS ORGANIZACINĖ STRUKTŪRA 2016 METAIS</w:t>
      </w:r>
    </w:p>
    <w:p w:rsidR="0077662B" w:rsidRPr="0077662B" w:rsidRDefault="0077662B" w:rsidP="0077662B">
      <w:pPr>
        <w:autoSpaceDE w:val="0"/>
        <w:autoSpaceDN w:val="0"/>
        <w:adjustRightInd w:val="0"/>
        <w:jc w:val="center"/>
        <w:rPr>
          <w:rFonts w:eastAsia="Times New Roman" w:cs="Times New Roman"/>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986"/>
        <w:gridCol w:w="1156"/>
        <w:gridCol w:w="1666"/>
        <w:gridCol w:w="779"/>
        <w:gridCol w:w="958"/>
        <w:gridCol w:w="907"/>
        <w:gridCol w:w="1126"/>
        <w:gridCol w:w="1046"/>
      </w:tblGrid>
      <w:tr w:rsidR="0077662B" w:rsidRPr="0077662B" w:rsidTr="00CC772F">
        <w:tc>
          <w:tcPr>
            <w:tcW w:w="5874" w:type="dxa"/>
            <w:gridSpan w:val="5"/>
            <w:shd w:val="clear" w:color="auto" w:fill="auto"/>
          </w:tcPr>
          <w:p w:rsidR="0077662B" w:rsidRPr="0077662B" w:rsidRDefault="0077662B" w:rsidP="0077662B">
            <w:pPr>
              <w:autoSpaceDE w:val="0"/>
              <w:autoSpaceDN w:val="0"/>
              <w:adjustRightInd w:val="0"/>
              <w:jc w:val="center"/>
              <w:rPr>
                <w:rFonts w:eastAsia="Times New Roman" w:cs="Times New Roman"/>
                <w:lang w:eastAsia="lt-LT"/>
              </w:rPr>
            </w:pPr>
            <w:r w:rsidRPr="0077662B">
              <w:rPr>
                <w:rFonts w:eastAsia="Times New Roman" w:cs="Times New Roman"/>
                <w:lang w:eastAsia="lt-LT"/>
              </w:rPr>
              <w:t>Etatų skaičius</w:t>
            </w:r>
          </w:p>
        </w:tc>
        <w:tc>
          <w:tcPr>
            <w:tcW w:w="4037" w:type="dxa"/>
            <w:gridSpan w:val="4"/>
            <w:shd w:val="clear" w:color="auto" w:fill="auto"/>
          </w:tcPr>
          <w:p w:rsidR="0077662B" w:rsidRPr="0077662B" w:rsidRDefault="0077662B" w:rsidP="0077662B">
            <w:pPr>
              <w:autoSpaceDE w:val="0"/>
              <w:autoSpaceDN w:val="0"/>
              <w:adjustRightInd w:val="0"/>
              <w:jc w:val="center"/>
              <w:rPr>
                <w:rFonts w:eastAsia="Times New Roman" w:cs="Times New Roman"/>
                <w:lang w:eastAsia="lt-LT"/>
              </w:rPr>
            </w:pPr>
            <w:r w:rsidRPr="0077662B">
              <w:rPr>
                <w:rFonts w:eastAsia="Times New Roman" w:cs="Times New Roman"/>
                <w:lang w:eastAsia="lt-LT"/>
              </w:rPr>
              <w:t>Mokytojų skaičius</w:t>
            </w:r>
          </w:p>
        </w:tc>
      </w:tr>
      <w:tr w:rsidR="0077662B" w:rsidRPr="0077662B" w:rsidTr="00CC772F">
        <w:trPr>
          <w:trHeight w:val="630"/>
        </w:trPr>
        <w:tc>
          <w:tcPr>
            <w:tcW w:w="1287" w:type="dxa"/>
            <w:shd w:val="clear" w:color="auto" w:fill="auto"/>
          </w:tcPr>
          <w:p w:rsidR="0077662B" w:rsidRPr="0077662B" w:rsidRDefault="0077662B" w:rsidP="0077662B">
            <w:pPr>
              <w:autoSpaceDE w:val="0"/>
              <w:autoSpaceDN w:val="0"/>
              <w:adjustRightInd w:val="0"/>
              <w:jc w:val="center"/>
              <w:rPr>
                <w:rFonts w:eastAsia="Times New Roman" w:cs="Times New Roman"/>
                <w:sz w:val="18"/>
                <w:szCs w:val="18"/>
                <w:lang w:eastAsia="lt-LT"/>
              </w:rPr>
            </w:pPr>
            <w:r w:rsidRPr="0077662B">
              <w:rPr>
                <w:rFonts w:eastAsia="Times New Roman" w:cs="Times New Roman"/>
                <w:sz w:val="18"/>
                <w:szCs w:val="18"/>
                <w:lang w:eastAsia="lt-LT"/>
              </w:rPr>
              <w:t>Administracija</w:t>
            </w:r>
          </w:p>
          <w:p w:rsidR="0077662B" w:rsidRPr="0077662B" w:rsidRDefault="0077662B" w:rsidP="0077662B">
            <w:pPr>
              <w:autoSpaceDE w:val="0"/>
              <w:autoSpaceDN w:val="0"/>
              <w:adjustRightInd w:val="0"/>
              <w:jc w:val="center"/>
              <w:rPr>
                <w:rFonts w:eastAsia="Times New Roman" w:cs="Times New Roman"/>
                <w:b/>
                <w:sz w:val="18"/>
                <w:szCs w:val="18"/>
                <w:lang w:eastAsia="lt-LT"/>
              </w:rPr>
            </w:pPr>
            <w:r w:rsidRPr="0077662B">
              <w:rPr>
                <w:rFonts w:eastAsia="Times New Roman" w:cs="Times New Roman"/>
                <w:sz w:val="18"/>
                <w:szCs w:val="18"/>
                <w:lang w:eastAsia="lt-LT"/>
              </w:rPr>
              <w:t>(direktorius ir pavaduotojas)</w:t>
            </w:r>
          </w:p>
        </w:tc>
        <w:tc>
          <w:tcPr>
            <w:tcW w:w="986" w:type="dxa"/>
            <w:shd w:val="clear" w:color="auto" w:fill="auto"/>
          </w:tcPr>
          <w:p w:rsidR="0077662B" w:rsidRPr="0077662B" w:rsidRDefault="0077662B" w:rsidP="0077662B">
            <w:pPr>
              <w:autoSpaceDE w:val="0"/>
              <w:autoSpaceDN w:val="0"/>
              <w:adjustRightInd w:val="0"/>
              <w:jc w:val="center"/>
              <w:rPr>
                <w:rFonts w:eastAsia="Times New Roman" w:cs="Times New Roman"/>
                <w:sz w:val="18"/>
                <w:szCs w:val="18"/>
                <w:lang w:eastAsia="lt-LT"/>
              </w:rPr>
            </w:pPr>
            <w:r w:rsidRPr="0077662B">
              <w:rPr>
                <w:rFonts w:eastAsia="Times New Roman" w:cs="Times New Roman"/>
                <w:sz w:val="18"/>
                <w:szCs w:val="18"/>
                <w:lang w:eastAsia="lt-LT"/>
              </w:rPr>
              <w:t>Logopedai</w:t>
            </w:r>
          </w:p>
        </w:tc>
        <w:tc>
          <w:tcPr>
            <w:tcW w:w="1156" w:type="dxa"/>
            <w:shd w:val="clear" w:color="auto" w:fill="auto"/>
          </w:tcPr>
          <w:p w:rsidR="0077662B" w:rsidRPr="0077662B" w:rsidRDefault="0077662B" w:rsidP="0077662B">
            <w:pPr>
              <w:autoSpaceDE w:val="0"/>
              <w:autoSpaceDN w:val="0"/>
              <w:adjustRightInd w:val="0"/>
              <w:rPr>
                <w:rFonts w:eastAsia="Times New Roman" w:cs="Times New Roman"/>
                <w:sz w:val="18"/>
                <w:szCs w:val="18"/>
                <w:lang w:eastAsia="lt-LT"/>
              </w:rPr>
            </w:pPr>
            <w:r w:rsidRPr="0077662B">
              <w:rPr>
                <w:rFonts w:eastAsia="Times New Roman" w:cs="Times New Roman"/>
                <w:sz w:val="18"/>
                <w:szCs w:val="18"/>
                <w:lang w:eastAsia="lt-LT"/>
              </w:rPr>
              <w:t>Pedagoginiai</w:t>
            </w:r>
          </w:p>
          <w:p w:rsidR="0077662B" w:rsidRPr="0077662B" w:rsidRDefault="0077662B" w:rsidP="0077662B">
            <w:pPr>
              <w:autoSpaceDE w:val="0"/>
              <w:autoSpaceDN w:val="0"/>
              <w:adjustRightInd w:val="0"/>
              <w:rPr>
                <w:rFonts w:eastAsia="Times New Roman" w:cs="Times New Roman"/>
                <w:sz w:val="18"/>
                <w:szCs w:val="18"/>
                <w:lang w:eastAsia="lt-LT"/>
              </w:rPr>
            </w:pPr>
            <w:r w:rsidRPr="0077662B">
              <w:rPr>
                <w:rFonts w:eastAsia="Times New Roman" w:cs="Times New Roman"/>
                <w:sz w:val="18"/>
                <w:szCs w:val="18"/>
                <w:lang w:eastAsia="lt-LT"/>
              </w:rPr>
              <w:t>etatai</w:t>
            </w:r>
          </w:p>
        </w:tc>
        <w:tc>
          <w:tcPr>
            <w:tcW w:w="1666" w:type="dxa"/>
            <w:shd w:val="clear" w:color="auto" w:fill="auto"/>
          </w:tcPr>
          <w:p w:rsidR="0077662B" w:rsidRPr="0077662B" w:rsidRDefault="0077662B" w:rsidP="0077662B">
            <w:pPr>
              <w:autoSpaceDE w:val="0"/>
              <w:autoSpaceDN w:val="0"/>
              <w:adjustRightInd w:val="0"/>
              <w:rPr>
                <w:rFonts w:eastAsia="Times New Roman" w:cs="Times New Roman"/>
                <w:sz w:val="18"/>
                <w:szCs w:val="18"/>
                <w:lang w:eastAsia="lt-LT"/>
              </w:rPr>
            </w:pPr>
            <w:r w:rsidRPr="0077662B">
              <w:rPr>
                <w:rFonts w:eastAsia="Times New Roman" w:cs="Times New Roman"/>
                <w:sz w:val="18"/>
                <w:szCs w:val="18"/>
                <w:lang w:eastAsia="lt-LT"/>
              </w:rPr>
              <w:t>Pagalbinis/techninis personalas</w:t>
            </w:r>
          </w:p>
        </w:tc>
        <w:tc>
          <w:tcPr>
            <w:tcW w:w="779" w:type="dxa"/>
            <w:shd w:val="clear" w:color="auto" w:fill="auto"/>
          </w:tcPr>
          <w:p w:rsidR="0077662B" w:rsidRPr="0077662B" w:rsidRDefault="0077662B" w:rsidP="0077662B">
            <w:pPr>
              <w:autoSpaceDE w:val="0"/>
              <w:autoSpaceDN w:val="0"/>
              <w:adjustRightInd w:val="0"/>
              <w:rPr>
                <w:rFonts w:eastAsia="Times New Roman" w:cs="Times New Roman"/>
                <w:sz w:val="18"/>
                <w:szCs w:val="18"/>
                <w:lang w:eastAsia="lt-LT"/>
              </w:rPr>
            </w:pPr>
            <w:r w:rsidRPr="0077662B">
              <w:rPr>
                <w:rFonts w:eastAsia="Times New Roman" w:cs="Times New Roman"/>
                <w:sz w:val="18"/>
                <w:szCs w:val="18"/>
                <w:lang w:eastAsia="lt-LT"/>
              </w:rPr>
              <w:t>Iš viso etatų (pagal etatų sąrašą)</w:t>
            </w:r>
          </w:p>
        </w:tc>
        <w:tc>
          <w:tcPr>
            <w:tcW w:w="958" w:type="dxa"/>
            <w:shd w:val="clear" w:color="auto" w:fill="auto"/>
          </w:tcPr>
          <w:p w:rsidR="0077662B" w:rsidRPr="0077662B" w:rsidRDefault="0077662B" w:rsidP="0077662B">
            <w:pPr>
              <w:autoSpaceDE w:val="0"/>
              <w:autoSpaceDN w:val="0"/>
              <w:adjustRightInd w:val="0"/>
              <w:jc w:val="center"/>
              <w:rPr>
                <w:rFonts w:eastAsia="Times New Roman" w:cs="Times New Roman"/>
                <w:sz w:val="18"/>
                <w:szCs w:val="18"/>
                <w:lang w:eastAsia="lt-LT"/>
              </w:rPr>
            </w:pPr>
            <w:r w:rsidRPr="0077662B">
              <w:rPr>
                <w:rFonts w:eastAsia="Times New Roman" w:cs="Times New Roman"/>
                <w:sz w:val="18"/>
                <w:szCs w:val="18"/>
                <w:lang w:eastAsia="lt-LT"/>
              </w:rPr>
              <w:t>Atestuotų mokytojų</w:t>
            </w:r>
          </w:p>
        </w:tc>
        <w:tc>
          <w:tcPr>
            <w:tcW w:w="907" w:type="dxa"/>
            <w:shd w:val="clear" w:color="auto" w:fill="auto"/>
          </w:tcPr>
          <w:p w:rsidR="0077662B" w:rsidRPr="0077662B" w:rsidRDefault="0077662B" w:rsidP="0077662B">
            <w:pPr>
              <w:autoSpaceDE w:val="0"/>
              <w:autoSpaceDN w:val="0"/>
              <w:adjustRightInd w:val="0"/>
              <w:jc w:val="center"/>
              <w:rPr>
                <w:rFonts w:eastAsia="Times New Roman" w:cs="Times New Roman"/>
                <w:sz w:val="18"/>
                <w:szCs w:val="18"/>
                <w:lang w:eastAsia="lt-LT"/>
              </w:rPr>
            </w:pPr>
            <w:r w:rsidRPr="0077662B">
              <w:rPr>
                <w:rFonts w:eastAsia="Times New Roman" w:cs="Times New Roman"/>
                <w:sz w:val="18"/>
                <w:szCs w:val="18"/>
                <w:lang w:eastAsia="lt-LT"/>
              </w:rPr>
              <w:t>Vyr. mokytojų</w:t>
            </w:r>
          </w:p>
        </w:tc>
        <w:tc>
          <w:tcPr>
            <w:tcW w:w="1126" w:type="dxa"/>
            <w:shd w:val="clear" w:color="auto" w:fill="auto"/>
          </w:tcPr>
          <w:p w:rsidR="0077662B" w:rsidRPr="0077662B" w:rsidRDefault="0077662B" w:rsidP="0077662B">
            <w:pPr>
              <w:autoSpaceDE w:val="0"/>
              <w:autoSpaceDN w:val="0"/>
              <w:adjustRightInd w:val="0"/>
              <w:jc w:val="center"/>
              <w:rPr>
                <w:rFonts w:eastAsia="Times New Roman" w:cs="Times New Roman"/>
                <w:sz w:val="18"/>
                <w:szCs w:val="18"/>
                <w:lang w:eastAsia="lt-LT"/>
              </w:rPr>
            </w:pPr>
            <w:r w:rsidRPr="0077662B">
              <w:rPr>
                <w:rFonts w:eastAsia="Times New Roman" w:cs="Times New Roman"/>
                <w:sz w:val="18"/>
                <w:szCs w:val="18"/>
                <w:lang w:eastAsia="lt-LT"/>
              </w:rPr>
              <w:t>Mokytojų metodininkų</w:t>
            </w:r>
          </w:p>
        </w:tc>
        <w:tc>
          <w:tcPr>
            <w:tcW w:w="1046" w:type="dxa"/>
            <w:shd w:val="clear" w:color="auto" w:fill="auto"/>
          </w:tcPr>
          <w:p w:rsidR="0077662B" w:rsidRPr="0077662B" w:rsidRDefault="0077662B" w:rsidP="0077662B">
            <w:pPr>
              <w:autoSpaceDE w:val="0"/>
              <w:autoSpaceDN w:val="0"/>
              <w:adjustRightInd w:val="0"/>
              <w:jc w:val="center"/>
              <w:rPr>
                <w:rFonts w:eastAsia="Times New Roman" w:cs="Times New Roman"/>
                <w:sz w:val="18"/>
                <w:szCs w:val="18"/>
                <w:lang w:eastAsia="lt-LT"/>
              </w:rPr>
            </w:pPr>
            <w:r w:rsidRPr="0077662B">
              <w:rPr>
                <w:rFonts w:eastAsia="Times New Roman" w:cs="Times New Roman"/>
                <w:sz w:val="18"/>
                <w:szCs w:val="18"/>
                <w:lang w:eastAsia="lt-LT"/>
              </w:rPr>
              <w:t>Iš viso mokytojų</w:t>
            </w:r>
          </w:p>
        </w:tc>
      </w:tr>
      <w:tr w:rsidR="0077662B" w:rsidRPr="0077662B" w:rsidTr="00CC772F">
        <w:tc>
          <w:tcPr>
            <w:tcW w:w="1287" w:type="dxa"/>
            <w:shd w:val="clear" w:color="auto" w:fill="auto"/>
          </w:tcPr>
          <w:p w:rsidR="0077662B" w:rsidRPr="0077662B" w:rsidRDefault="0077662B" w:rsidP="0077662B">
            <w:pPr>
              <w:autoSpaceDE w:val="0"/>
              <w:autoSpaceDN w:val="0"/>
              <w:adjustRightInd w:val="0"/>
              <w:jc w:val="center"/>
              <w:rPr>
                <w:rFonts w:eastAsia="Times New Roman" w:cs="Times New Roman"/>
                <w:sz w:val="22"/>
                <w:szCs w:val="22"/>
                <w:lang w:eastAsia="lt-LT"/>
              </w:rPr>
            </w:pPr>
            <w:r w:rsidRPr="0077662B">
              <w:rPr>
                <w:rFonts w:eastAsia="Times New Roman" w:cs="Times New Roman"/>
                <w:sz w:val="22"/>
                <w:szCs w:val="22"/>
                <w:lang w:eastAsia="lt-LT"/>
              </w:rPr>
              <w:t>2</w:t>
            </w:r>
          </w:p>
        </w:tc>
        <w:tc>
          <w:tcPr>
            <w:tcW w:w="986" w:type="dxa"/>
            <w:shd w:val="clear" w:color="auto" w:fill="auto"/>
          </w:tcPr>
          <w:p w:rsidR="0077662B" w:rsidRPr="0077662B" w:rsidRDefault="0077662B" w:rsidP="0077662B">
            <w:pPr>
              <w:autoSpaceDE w:val="0"/>
              <w:autoSpaceDN w:val="0"/>
              <w:adjustRightInd w:val="0"/>
              <w:jc w:val="center"/>
              <w:rPr>
                <w:rFonts w:eastAsia="Times New Roman" w:cs="Times New Roman"/>
                <w:sz w:val="22"/>
                <w:szCs w:val="22"/>
                <w:lang w:eastAsia="lt-LT"/>
              </w:rPr>
            </w:pPr>
            <w:r w:rsidRPr="0077662B">
              <w:rPr>
                <w:rFonts w:eastAsia="Times New Roman" w:cs="Times New Roman"/>
                <w:sz w:val="22"/>
                <w:szCs w:val="22"/>
                <w:lang w:eastAsia="lt-LT"/>
              </w:rPr>
              <w:t>1</w:t>
            </w:r>
          </w:p>
        </w:tc>
        <w:tc>
          <w:tcPr>
            <w:tcW w:w="1156" w:type="dxa"/>
            <w:shd w:val="clear" w:color="auto" w:fill="auto"/>
          </w:tcPr>
          <w:p w:rsidR="0077662B" w:rsidRPr="0077662B" w:rsidRDefault="0077662B" w:rsidP="0077662B">
            <w:pPr>
              <w:autoSpaceDE w:val="0"/>
              <w:autoSpaceDN w:val="0"/>
              <w:adjustRightInd w:val="0"/>
              <w:jc w:val="center"/>
              <w:rPr>
                <w:rFonts w:eastAsia="Times New Roman" w:cs="Times New Roman"/>
                <w:sz w:val="22"/>
                <w:szCs w:val="22"/>
                <w:lang w:eastAsia="lt-LT"/>
              </w:rPr>
            </w:pPr>
            <w:r w:rsidRPr="0077662B">
              <w:rPr>
                <w:rFonts w:eastAsia="Times New Roman" w:cs="Times New Roman"/>
                <w:sz w:val="22"/>
                <w:szCs w:val="22"/>
                <w:lang w:eastAsia="lt-LT"/>
              </w:rPr>
              <w:t>18,96</w:t>
            </w:r>
          </w:p>
        </w:tc>
        <w:tc>
          <w:tcPr>
            <w:tcW w:w="1666" w:type="dxa"/>
            <w:shd w:val="clear" w:color="auto" w:fill="auto"/>
          </w:tcPr>
          <w:p w:rsidR="0077662B" w:rsidRPr="0077662B" w:rsidRDefault="0077662B" w:rsidP="0077662B">
            <w:pPr>
              <w:autoSpaceDE w:val="0"/>
              <w:autoSpaceDN w:val="0"/>
              <w:adjustRightInd w:val="0"/>
              <w:jc w:val="center"/>
              <w:rPr>
                <w:rFonts w:eastAsia="Times New Roman" w:cs="Times New Roman"/>
                <w:sz w:val="22"/>
                <w:szCs w:val="22"/>
                <w:lang w:eastAsia="lt-LT"/>
              </w:rPr>
            </w:pPr>
            <w:r w:rsidRPr="0077662B">
              <w:rPr>
                <w:rFonts w:eastAsia="Times New Roman" w:cs="Times New Roman"/>
                <w:sz w:val="22"/>
                <w:szCs w:val="22"/>
                <w:lang w:eastAsia="lt-LT"/>
              </w:rPr>
              <w:t>22,5</w:t>
            </w:r>
          </w:p>
        </w:tc>
        <w:tc>
          <w:tcPr>
            <w:tcW w:w="779" w:type="dxa"/>
            <w:shd w:val="clear" w:color="auto" w:fill="auto"/>
          </w:tcPr>
          <w:p w:rsidR="0077662B" w:rsidRPr="0077662B" w:rsidRDefault="0077662B" w:rsidP="0077662B">
            <w:pPr>
              <w:autoSpaceDE w:val="0"/>
              <w:autoSpaceDN w:val="0"/>
              <w:adjustRightInd w:val="0"/>
              <w:jc w:val="center"/>
              <w:rPr>
                <w:rFonts w:eastAsia="Times New Roman" w:cs="Times New Roman"/>
                <w:sz w:val="22"/>
                <w:szCs w:val="22"/>
                <w:lang w:eastAsia="lt-LT"/>
              </w:rPr>
            </w:pPr>
            <w:r w:rsidRPr="0077662B">
              <w:rPr>
                <w:rFonts w:eastAsia="Times New Roman" w:cs="Times New Roman"/>
                <w:sz w:val="22"/>
                <w:szCs w:val="22"/>
                <w:lang w:eastAsia="lt-LT"/>
              </w:rPr>
              <w:t>41,46</w:t>
            </w:r>
          </w:p>
        </w:tc>
        <w:tc>
          <w:tcPr>
            <w:tcW w:w="958" w:type="dxa"/>
            <w:shd w:val="clear" w:color="auto" w:fill="auto"/>
          </w:tcPr>
          <w:p w:rsidR="0077662B" w:rsidRPr="0077662B" w:rsidRDefault="0077662B" w:rsidP="0077662B">
            <w:pPr>
              <w:autoSpaceDE w:val="0"/>
              <w:autoSpaceDN w:val="0"/>
              <w:adjustRightInd w:val="0"/>
              <w:jc w:val="center"/>
              <w:rPr>
                <w:rFonts w:eastAsia="Times New Roman" w:cs="Times New Roman"/>
                <w:sz w:val="22"/>
                <w:szCs w:val="22"/>
                <w:lang w:eastAsia="lt-LT"/>
              </w:rPr>
            </w:pPr>
            <w:r w:rsidRPr="0077662B">
              <w:rPr>
                <w:rFonts w:eastAsia="Times New Roman" w:cs="Times New Roman"/>
                <w:sz w:val="22"/>
                <w:szCs w:val="22"/>
                <w:lang w:eastAsia="lt-LT"/>
              </w:rPr>
              <w:t>11</w:t>
            </w:r>
          </w:p>
        </w:tc>
        <w:tc>
          <w:tcPr>
            <w:tcW w:w="907" w:type="dxa"/>
            <w:shd w:val="clear" w:color="auto" w:fill="auto"/>
          </w:tcPr>
          <w:p w:rsidR="0077662B" w:rsidRPr="0077662B" w:rsidRDefault="0077662B" w:rsidP="0077662B">
            <w:pPr>
              <w:autoSpaceDE w:val="0"/>
              <w:autoSpaceDN w:val="0"/>
              <w:adjustRightInd w:val="0"/>
              <w:jc w:val="center"/>
              <w:rPr>
                <w:rFonts w:eastAsia="Times New Roman" w:cs="Times New Roman"/>
                <w:sz w:val="22"/>
                <w:szCs w:val="22"/>
                <w:lang w:eastAsia="lt-LT"/>
              </w:rPr>
            </w:pPr>
            <w:r w:rsidRPr="0077662B">
              <w:rPr>
                <w:rFonts w:eastAsia="Times New Roman" w:cs="Times New Roman"/>
                <w:sz w:val="22"/>
                <w:szCs w:val="22"/>
                <w:lang w:eastAsia="lt-LT"/>
              </w:rPr>
              <w:t>10</w:t>
            </w:r>
          </w:p>
        </w:tc>
        <w:tc>
          <w:tcPr>
            <w:tcW w:w="1126" w:type="dxa"/>
            <w:shd w:val="clear" w:color="auto" w:fill="auto"/>
          </w:tcPr>
          <w:p w:rsidR="0077662B" w:rsidRPr="0077662B" w:rsidRDefault="0077662B" w:rsidP="0077662B">
            <w:pPr>
              <w:autoSpaceDE w:val="0"/>
              <w:autoSpaceDN w:val="0"/>
              <w:adjustRightInd w:val="0"/>
              <w:jc w:val="center"/>
              <w:rPr>
                <w:rFonts w:eastAsia="Times New Roman" w:cs="Times New Roman"/>
                <w:sz w:val="22"/>
                <w:szCs w:val="22"/>
                <w:lang w:eastAsia="lt-LT"/>
              </w:rPr>
            </w:pPr>
            <w:r w:rsidRPr="0077662B">
              <w:rPr>
                <w:rFonts w:eastAsia="Times New Roman" w:cs="Times New Roman"/>
                <w:sz w:val="22"/>
                <w:szCs w:val="22"/>
                <w:lang w:eastAsia="lt-LT"/>
              </w:rPr>
              <w:t>2</w:t>
            </w:r>
          </w:p>
        </w:tc>
        <w:tc>
          <w:tcPr>
            <w:tcW w:w="1046" w:type="dxa"/>
            <w:shd w:val="clear" w:color="auto" w:fill="auto"/>
          </w:tcPr>
          <w:p w:rsidR="0077662B" w:rsidRPr="0077662B" w:rsidRDefault="0077662B" w:rsidP="0077662B">
            <w:pPr>
              <w:autoSpaceDE w:val="0"/>
              <w:autoSpaceDN w:val="0"/>
              <w:adjustRightInd w:val="0"/>
              <w:jc w:val="center"/>
              <w:rPr>
                <w:rFonts w:eastAsia="Times New Roman" w:cs="Times New Roman"/>
                <w:sz w:val="22"/>
                <w:szCs w:val="22"/>
                <w:lang w:eastAsia="lt-LT"/>
              </w:rPr>
            </w:pPr>
            <w:r w:rsidRPr="0077662B">
              <w:rPr>
                <w:rFonts w:eastAsia="Times New Roman" w:cs="Times New Roman"/>
                <w:sz w:val="22"/>
                <w:szCs w:val="22"/>
                <w:lang w:eastAsia="lt-LT"/>
              </w:rPr>
              <w:t>19</w:t>
            </w:r>
          </w:p>
        </w:tc>
      </w:tr>
    </w:tbl>
    <w:p w:rsidR="0077662B" w:rsidRPr="0077662B" w:rsidRDefault="0077662B" w:rsidP="0077662B">
      <w:pPr>
        <w:autoSpaceDE w:val="0"/>
        <w:autoSpaceDN w:val="0"/>
        <w:adjustRightInd w:val="0"/>
        <w:jc w:val="right"/>
        <w:rPr>
          <w:rFonts w:eastAsia="Times New Roman" w:cs="Times New Roman"/>
          <w:lang w:eastAsia="lt-LT"/>
        </w:rPr>
      </w:pPr>
      <w:r w:rsidRPr="0077662B">
        <w:rPr>
          <w:rFonts w:eastAsia="Times New Roman" w:cs="Times New Roman"/>
          <w:lang w:eastAsia="lt-LT"/>
        </w:rPr>
        <w:t>4 lentelė</w:t>
      </w:r>
    </w:p>
    <w:p w:rsidR="0077662B" w:rsidRPr="0077662B" w:rsidRDefault="0077662B" w:rsidP="0077662B">
      <w:pPr>
        <w:autoSpaceDE w:val="0"/>
        <w:autoSpaceDN w:val="0"/>
        <w:adjustRightInd w:val="0"/>
        <w:jc w:val="both"/>
        <w:rPr>
          <w:rFonts w:eastAsia="Times New Roman" w:cs="Times New Roman"/>
          <w:lang w:eastAsia="lt-LT"/>
        </w:rPr>
      </w:pPr>
      <w:r w:rsidRPr="0077662B">
        <w:rPr>
          <w:rFonts w:eastAsia="Times New Roman" w:cs="Times New Roman"/>
          <w:lang w:eastAsia="lt-LT"/>
        </w:rPr>
        <w:lastRenderedPageBreak/>
        <w:t xml:space="preserve">Visi mokytojai turi kvalifikaciją. Metų eigoje išvyko  2 pensinio amžiaus mokytojai. Tai auklėtoja Janina Rimkienė ir direktorė Zina Jovaišienė.  Nuo 2016 m. rugpjūčio 1 d. direktoriaus pavaduotoja ugdymui laikinai eina direktoriaus pareigas, iki bus paskirtas naujas direktorius. Visi grupių mokytojai turi maksimalų  36 savaitinių valandų darbo krūvį. </w:t>
      </w:r>
    </w:p>
    <w:p w:rsidR="0077662B" w:rsidRPr="0077662B" w:rsidRDefault="0077662B" w:rsidP="0077662B">
      <w:pPr>
        <w:jc w:val="center"/>
        <w:rPr>
          <w:rFonts w:eastAsia="Times New Roman" w:cs="Times New Roman"/>
          <w:b/>
          <w:lang w:eastAsia="lt-LT"/>
        </w:rPr>
      </w:pPr>
    </w:p>
    <w:p w:rsidR="0077662B" w:rsidRPr="0077662B" w:rsidRDefault="0077662B" w:rsidP="0077662B">
      <w:pPr>
        <w:rPr>
          <w:rFonts w:eastAsia="Times New Roman" w:cs="Times New Roman"/>
          <w:sz w:val="10"/>
          <w:szCs w:val="10"/>
          <w:lang w:eastAsia="lt-LT"/>
        </w:rPr>
      </w:pPr>
    </w:p>
    <w:p w:rsidR="0077662B" w:rsidRPr="0077662B" w:rsidRDefault="0077662B" w:rsidP="0077662B">
      <w:pPr>
        <w:spacing w:after="120"/>
        <w:jc w:val="center"/>
        <w:rPr>
          <w:rFonts w:eastAsia="Times New Roman" w:cs="Times New Roman"/>
          <w:b/>
          <w:color w:val="E7E6E6" w:themeColor="background2"/>
          <w:lang w:eastAsia="lt-LT"/>
          <w14:textOutline w14:w="9525" w14:cap="rnd" w14:cmpd="sng" w14:algn="ctr">
            <w14:solidFill>
              <w14:srgbClr w14:val="000000"/>
            </w14:solidFill>
            <w14:prstDash w14:val="solid"/>
            <w14:bevel/>
          </w14:textOutline>
        </w:rPr>
      </w:pPr>
      <w:r w:rsidRPr="0077662B">
        <w:rPr>
          <w:rFonts w:eastAsia="Times New Roman" w:cs="Times New Roman"/>
          <w:b/>
          <w:lang w:eastAsia="lt-LT"/>
        </w:rPr>
        <w:t>MOKYTOJŲ KVALIFIKACIJA  2016 METAIS</w:t>
      </w:r>
    </w:p>
    <w:p w:rsidR="0077662B" w:rsidRPr="0077662B" w:rsidRDefault="0077662B" w:rsidP="0077662B">
      <w:pPr>
        <w:spacing w:after="120"/>
        <w:jc w:val="both"/>
        <w:rPr>
          <w:rFonts w:eastAsia="Times New Roman" w:cs="Times New Roman"/>
          <w:lang w:eastAsia="lt-LT"/>
        </w:rPr>
      </w:pPr>
      <w:r w:rsidRPr="0077662B">
        <w:rPr>
          <w:rFonts w:eastAsia="Times New Roman" w:cs="Times New Roman"/>
          <w:lang w:eastAsia="lt-LT"/>
        </w:rPr>
        <w:t xml:space="preserve">Lopšelyje-darželyje ,,Taika“ 2016 m. dirbo 42 darbuotojai , iš jų 18 mokytojų ir pagalbos mokiniui specialistų, iš jų 2 pedagogai įgiję mokytojo metodininko kvalifikacines kategorijas, 11 vyresniųjų mokytojų  kvalifikacines kategorijas, 5 turi mokytojų kvalifikacines kategorijas. </w:t>
      </w:r>
    </w:p>
    <w:p w:rsidR="0077662B" w:rsidRPr="0077662B" w:rsidRDefault="0077662B" w:rsidP="0077662B">
      <w:pPr>
        <w:spacing w:after="120"/>
        <w:jc w:val="center"/>
        <w:rPr>
          <w:rFonts w:eastAsia="Times New Roman" w:cs="Times New Roman"/>
          <w:b/>
          <w:lang w:eastAsia="lt-LT"/>
        </w:rPr>
      </w:pPr>
      <w:r w:rsidRPr="0077662B">
        <w:rPr>
          <w:rFonts w:eastAsia="Times New Roman" w:cs="Times New Roman"/>
          <w:b/>
          <w:lang w:eastAsia="lt-LT"/>
        </w:rPr>
        <w:t>II. ĮSTAIGOS  VEIKLAI  ĮTAKOS TURĖJUSIŲ VEIKSNIŲ APŽVALGA</w:t>
      </w:r>
    </w:p>
    <w:p w:rsidR="0077662B" w:rsidRPr="0077662B" w:rsidRDefault="0077662B" w:rsidP="0077662B">
      <w:pPr>
        <w:jc w:val="both"/>
        <w:rPr>
          <w:rFonts w:eastAsia="Times New Roman" w:cs="Times New Roman"/>
          <w:b/>
          <w:lang w:eastAsia="lt-LT"/>
        </w:rPr>
      </w:pPr>
      <w:r w:rsidRPr="0077662B">
        <w:rPr>
          <w:rFonts w:eastAsia="Times New Roman" w:cs="Times New Roman"/>
          <w:noProof/>
          <w:lang w:eastAsia="lt-LT"/>
        </w:rPr>
        <w:drawing>
          <wp:anchor distT="0" distB="0" distL="114300" distR="114300" simplePos="0" relativeHeight="251659264" behindDoc="1" locked="0" layoutInCell="1" allowOverlap="1" wp14:anchorId="5AFCB2B3" wp14:editId="2B606A59">
            <wp:simplePos x="0" y="0"/>
            <wp:positionH relativeFrom="margin">
              <wp:posOffset>175260</wp:posOffset>
            </wp:positionH>
            <wp:positionV relativeFrom="page">
              <wp:posOffset>2918460</wp:posOffset>
            </wp:positionV>
            <wp:extent cx="6000750" cy="1801495"/>
            <wp:effectExtent l="0" t="0" r="0" b="8255"/>
            <wp:wrapTopAndBottom/>
            <wp:docPr id="9" name="Diagrama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77662B">
        <w:rPr>
          <w:rFonts w:eastAsia="Times New Roman" w:cs="Times New Roman"/>
          <w:lang w:eastAsia="lt-LT"/>
        </w:rPr>
        <w:t xml:space="preserve"> </w:t>
      </w:r>
      <w:r w:rsidRPr="0077662B">
        <w:rPr>
          <w:rFonts w:eastAsia="Times New Roman" w:cs="Times New Roman"/>
          <w:b/>
          <w:lang w:eastAsia="lt-LT"/>
        </w:rPr>
        <w:t>Išoriniai veiksniai</w:t>
      </w:r>
    </w:p>
    <w:p w:rsidR="0077662B" w:rsidRPr="0077662B" w:rsidRDefault="0077662B" w:rsidP="0077662B">
      <w:pPr>
        <w:spacing w:after="120"/>
        <w:ind w:left="1571"/>
        <w:jc w:val="right"/>
        <w:rPr>
          <w:rFonts w:eastAsia="Times New Roman" w:cs="Times New Roman"/>
          <w:lang w:eastAsia="lt-LT"/>
        </w:rPr>
      </w:pPr>
      <w:r w:rsidRPr="0077662B">
        <w:rPr>
          <w:rFonts w:eastAsia="Times New Roman" w:cs="Times New Roman"/>
          <w:lang w:eastAsia="lt-LT"/>
        </w:rPr>
        <w:t>3 diagrama.</w:t>
      </w:r>
    </w:p>
    <w:p w:rsidR="0077662B" w:rsidRPr="0077662B" w:rsidRDefault="0077662B" w:rsidP="0077662B">
      <w:pPr>
        <w:numPr>
          <w:ilvl w:val="0"/>
          <w:numId w:val="1"/>
        </w:numPr>
        <w:ind w:right="-81"/>
        <w:contextualSpacing/>
        <w:jc w:val="both"/>
        <w:rPr>
          <w:rFonts w:eastAsia="Times New Roman" w:cs="Times New Roman"/>
          <w:lang w:eastAsia="lt-LT"/>
        </w:rPr>
      </w:pPr>
      <w:r w:rsidRPr="0077662B">
        <w:rPr>
          <w:rFonts w:eastAsia="Times New Roman" w:cs="Times New Roman"/>
          <w:lang w:eastAsia="lt-LT"/>
        </w:rPr>
        <w:t>Patvirtintas Lietuvos Respublikos Švietimo ir mokslo ministro 2016 m. liepos 22 d. įsakymu Nr. V-674 Priešmokyklinio ugdymo organizavimo aprašas;</w:t>
      </w:r>
    </w:p>
    <w:p w:rsidR="0077662B" w:rsidRPr="0077662B" w:rsidRDefault="0077662B" w:rsidP="0077662B">
      <w:pPr>
        <w:numPr>
          <w:ilvl w:val="0"/>
          <w:numId w:val="1"/>
        </w:numPr>
        <w:ind w:right="-81"/>
        <w:contextualSpacing/>
        <w:jc w:val="both"/>
        <w:rPr>
          <w:rFonts w:eastAsia="Times New Roman" w:cs="Times New Roman"/>
          <w:lang w:eastAsia="lt-LT"/>
        </w:rPr>
      </w:pPr>
      <w:r w:rsidRPr="0077662B">
        <w:rPr>
          <w:rFonts w:eastAsia="Times New Roman" w:cs="Times New Roman"/>
          <w:lang w:eastAsia="lt-LT"/>
        </w:rPr>
        <w:t>Lietuvos Respublikos sveikatos apsaugos ministro  2016 m. gegužės 9 d. įsakymu Nr. V-599, supaprastinta vaiko priėmimo į darželį tvarka;</w:t>
      </w:r>
    </w:p>
    <w:p w:rsidR="0077662B" w:rsidRPr="0077662B" w:rsidRDefault="0077662B" w:rsidP="0077662B">
      <w:pPr>
        <w:numPr>
          <w:ilvl w:val="0"/>
          <w:numId w:val="1"/>
        </w:numPr>
        <w:ind w:right="-81"/>
        <w:contextualSpacing/>
        <w:jc w:val="both"/>
        <w:rPr>
          <w:rFonts w:eastAsia="Times New Roman" w:cs="Times New Roman"/>
          <w:lang w:eastAsia="lt-LT"/>
        </w:rPr>
      </w:pPr>
      <w:r w:rsidRPr="0077662B">
        <w:rPr>
          <w:rFonts w:eastAsia="Times New Roman" w:cs="Times New Roman"/>
          <w:lang w:eastAsia="lt-LT"/>
        </w:rPr>
        <w:t>Patvirtintas Panevėžio miesto savivaldybės administracijos švietimo skyriaus vedėjo 2016-06-03 įsakymu  Nr. VĮ-148 ,,Dėl ikimokyklinio ugdymo mokyklų vaikų registracijos ir eilių sudarymo tvarkos aprašo įgyvendinimo 2016-2017 mokslo metams“ vaikų registracijos ir eilių sudarymo tvarkos reglamentas.</w:t>
      </w:r>
    </w:p>
    <w:p w:rsidR="0077662B" w:rsidRPr="0077662B" w:rsidRDefault="0077662B" w:rsidP="0077662B">
      <w:pPr>
        <w:numPr>
          <w:ilvl w:val="0"/>
          <w:numId w:val="1"/>
        </w:numPr>
        <w:ind w:right="-81"/>
        <w:contextualSpacing/>
        <w:jc w:val="both"/>
        <w:rPr>
          <w:rFonts w:eastAsia="Times New Roman" w:cs="Times New Roman"/>
          <w:lang w:eastAsia="lt-LT"/>
        </w:rPr>
      </w:pPr>
      <w:r w:rsidRPr="0077662B">
        <w:rPr>
          <w:rFonts w:eastAsia="Times New Roman" w:cs="Times New Roman"/>
          <w:lang w:eastAsia="lt-LT"/>
        </w:rPr>
        <w:t>Įteisintas Lietuvos Respublikos seimo priešmokyklinis ugdymas privalomas nuo 2016 m. rugsėjo 1 d.;</w:t>
      </w:r>
    </w:p>
    <w:p w:rsidR="0077662B" w:rsidRPr="0077662B" w:rsidRDefault="0077662B" w:rsidP="0077662B">
      <w:pPr>
        <w:numPr>
          <w:ilvl w:val="0"/>
          <w:numId w:val="1"/>
        </w:numPr>
        <w:ind w:right="-81"/>
        <w:contextualSpacing/>
        <w:jc w:val="both"/>
        <w:rPr>
          <w:rFonts w:eastAsia="Times New Roman" w:cs="Times New Roman"/>
          <w:lang w:eastAsia="lt-LT"/>
        </w:rPr>
      </w:pPr>
      <w:r w:rsidRPr="0077662B">
        <w:rPr>
          <w:rFonts w:eastAsia="Times New Roman" w:cs="Times New Roman"/>
          <w:lang w:eastAsia="lt-LT"/>
        </w:rPr>
        <w:t>Nustatytas Panevėžio miesto savivaldybės 2015-11-26 sprendimu Nr. 1-304 tėvų atsiskaitymas už vaikų išlaikymą darželyje;</w:t>
      </w:r>
    </w:p>
    <w:p w:rsidR="0077662B" w:rsidRPr="0077662B" w:rsidRDefault="0077662B" w:rsidP="0077662B">
      <w:pPr>
        <w:numPr>
          <w:ilvl w:val="0"/>
          <w:numId w:val="1"/>
        </w:numPr>
        <w:ind w:right="-81"/>
        <w:contextualSpacing/>
        <w:jc w:val="both"/>
        <w:rPr>
          <w:rFonts w:eastAsia="Times New Roman" w:cs="Times New Roman"/>
          <w:lang w:eastAsia="lt-LT"/>
        </w:rPr>
      </w:pPr>
      <w:r w:rsidRPr="0077662B">
        <w:rPr>
          <w:rFonts w:eastAsia="Times New Roman" w:cs="Times New Roman"/>
          <w:lang w:eastAsia="lt-LT"/>
        </w:rPr>
        <w:t>Patvirtinti Panevėžio miesto savivaldybės administracijos direktoriaus 2016-0907 įsakymu Nr. A-951 ,,Dėl Panevėžio miesto savivaldybės švietimo įstaigų pasirinktų ikimokyklinio ir priešmokyklinio ugdymo organizavimo modelių 2016-2017 m. m. patvirtinimo“  Panevėžio lopšelio-darželio ,,Taika“  ugdymo organizavimo modeliai;</w:t>
      </w:r>
    </w:p>
    <w:p w:rsidR="0077662B" w:rsidRPr="0077662B" w:rsidRDefault="0077662B" w:rsidP="0077662B">
      <w:pPr>
        <w:numPr>
          <w:ilvl w:val="0"/>
          <w:numId w:val="1"/>
        </w:numPr>
        <w:autoSpaceDE w:val="0"/>
        <w:autoSpaceDN w:val="0"/>
        <w:adjustRightInd w:val="0"/>
        <w:contextualSpacing/>
        <w:jc w:val="both"/>
        <w:rPr>
          <w:rFonts w:ascii="Times-Roman" w:eastAsia="Times New Roman" w:hAnsi="Times-Roman" w:cs="Times-Roman"/>
          <w:lang w:eastAsia="lt-LT"/>
        </w:rPr>
      </w:pPr>
      <w:r w:rsidRPr="0077662B">
        <w:rPr>
          <w:rFonts w:ascii="Palemonas" w:eastAsia="Times New Roman" w:hAnsi="Palemonas" w:cs="Times New Roman"/>
          <w:lang w:eastAsia="lt-LT"/>
        </w:rPr>
        <w:t>D</w:t>
      </w:r>
      <w:r w:rsidRPr="0077662B">
        <w:rPr>
          <w:rFonts w:ascii="Times-Roman" w:eastAsia="Times New Roman" w:hAnsi="Times-Roman" w:cs="Times-Roman"/>
          <w:lang w:eastAsia="lt-LT"/>
        </w:rPr>
        <w:t>alyvavimas respublikinėje sveikatą stiprinančių mokyklų tinklo veikloje, vykdant vaikų sveikatos stiprinimo programą ,,Noriu augti sveikas“</w:t>
      </w:r>
      <w:r w:rsidRPr="0077662B">
        <w:rPr>
          <w:rFonts w:ascii="Palemonas" w:eastAsia="Times New Roman" w:hAnsi="Palemonas" w:cs="Times New Roman"/>
          <w:lang w:eastAsia="lt-LT"/>
        </w:rPr>
        <w:t>, dalyvavimas</w:t>
      </w:r>
      <w:r w:rsidRPr="0077662B">
        <w:rPr>
          <w:rFonts w:ascii="Times-Roman" w:eastAsia="Times New Roman" w:hAnsi="Times-Roman" w:cs="Times-Roman"/>
          <w:lang w:eastAsia="lt-LT"/>
        </w:rPr>
        <w:t xml:space="preserve"> respublikinėje ikimokyklinių įstaigų asociacijos „Sveikatos </w:t>
      </w:r>
      <w:proofErr w:type="spellStart"/>
      <w:r w:rsidRPr="0077662B">
        <w:rPr>
          <w:rFonts w:ascii="Times-Roman" w:eastAsia="Times New Roman" w:hAnsi="Times-Roman" w:cs="Times-Roman"/>
          <w:lang w:eastAsia="lt-LT"/>
        </w:rPr>
        <w:t>želmenėliai</w:t>
      </w:r>
      <w:proofErr w:type="spellEnd"/>
      <w:r w:rsidRPr="0077662B">
        <w:rPr>
          <w:rFonts w:ascii="Times-Roman" w:eastAsia="Times New Roman" w:hAnsi="Times-Roman" w:cs="Times-Roman"/>
          <w:lang w:eastAsia="lt-LT"/>
        </w:rPr>
        <w:t>“ veikloje;</w:t>
      </w:r>
    </w:p>
    <w:p w:rsidR="0077662B" w:rsidRPr="0077662B" w:rsidRDefault="0077662B" w:rsidP="0077662B">
      <w:pPr>
        <w:numPr>
          <w:ilvl w:val="0"/>
          <w:numId w:val="1"/>
        </w:numPr>
        <w:ind w:right="-81"/>
        <w:contextualSpacing/>
        <w:jc w:val="both"/>
        <w:rPr>
          <w:rFonts w:eastAsia="Times New Roman" w:cs="Times New Roman"/>
          <w:lang w:eastAsia="lt-LT"/>
        </w:rPr>
      </w:pPr>
      <w:r w:rsidRPr="0077662B">
        <w:rPr>
          <w:rFonts w:eastAsia="Times New Roman" w:cs="Times New Roman"/>
          <w:color w:val="000000"/>
          <w:lang w:eastAsia="lt-LT"/>
        </w:rPr>
        <w:t>Dalyvavimas Lietuvos Respublikos švietimo ir mokslo ministerijos ir kitų ministerijų respublikiniuose projektuose</w:t>
      </w:r>
      <w:r w:rsidRPr="0077662B">
        <w:rPr>
          <w:rFonts w:eastAsia="Times New Roman" w:cs="Times New Roman"/>
          <w:lang w:eastAsia="lt-LT"/>
        </w:rPr>
        <w:t xml:space="preserve">, </w:t>
      </w:r>
      <w:r w:rsidRPr="0077662B">
        <w:rPr>
          <w:rFonts w:ascii="Times-Roman" w:eastAsia="Times New Roman" w:hAnsi="Times-Roman" w:cs="Times-Roman"/>
          <w:lang w:eastAsia="lt-LT"/>
        </w:rPr>
        <w:t>respublikinėje ikimokyklinio ugdymo kūno kultūros pedagogų asociacijos (RIUKKPA) veikloje;</w:t>
      </w:r>
    </w:p>
    <w:p w:rsidR="0077662B" w:rsidRPr="0077662B" w:rsidRDefault="0077662B" w:rsidP="0077662B">
      <w:pPr>
        <w:numPr>
          <w:ilvl w:val="0"/>
          <w:numId w:val="1"/>
        </w:numPr>
        <w:ind w:right="-81"/>
        <w:contextualSpacing/>
        <w:jc w:val="both"/>
        <w:rPr>
          <w:rFonts w:eastAsia="Times New Roman" w:cs="Times New Roman"/>
          <w:lang w:eastAsia="lt-LT"/>
        </w:rPr>
      </w:pPr>
      <w:r w:rsidRPr="0077662B">
        <w:rPr>
          <w:rFonts w:ascii="Palemonas" w:eastAsia="Times New Roman" w:hAnsi="Palemonas" w:cs="Times New Roman"/>
          <w:lang w:eastAsia="lt-LT"/>
        </w:rPr>
        <w:t>Aktyvus mokytojų kvalifikacijos kėlimas, kompiuterinio raštingumo gebėjimų tobulinimas, dalyvaujant respublikiniuose, regiono, miesto kvalifikaciniuose renginiuose.</w:t>
      </w: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r w:rsidRPr="0077662B">
        <w:rPr>
          <w:rFonts w:ascii="Times-Roman" w:eastAsia="Times New Roman" w:hAnsi="Times-Roman" w:cs="Times-Roman"/>
          <w:b/>
          <w:lang w:eastAsia="lt-LT"/>
        </w:rPr>
        <w:t>Vidiniai veiksniai</w:t>
      </w:r>
    </w:p>
    <w:p w:rsidR="0077662B" w:rsidRPr="0077662B" w:rsidRDefault="0077662B" w:rsidP="0077662B">
      <w:pPr>
        <w:autoSpaceDE w:val="0"/>
        <w:autoSpaceDN w:val="0"/>
        <w:adjustRightInd w:val="0"/>
        <w:ind w:left="780"/>
        <w:jc w:val="both"/>
        <w:rPr>
          <w:rFonts w:ascii="Times-Roman" w:eastAsia="Times New Roman" w:hAnsi="Times-Roman" w:cs="Times-Roman"/>
          <w:b/>
          <w:lang w:eastAsia="lt-LT"/>
        </w:rPr>
      </w:pPr>
    </w:p>
    <w:p w:rsidR="0077662B" w:rsidRPr="0077662B" w:rsidRDefault="0077662B" w:rsidP="0077662B">
      <w:pPr>
        <w:numPr>
          <w:ilvl w:val="0"/>
          <w:numId w:val="2"/>
        </w:numPr>
        <w:autoSpaceDE w:val="0"/>
        <w:autoSpaceDN w:val="0"/>
        <w:adjustRightInd w:val="0"/>
        <w:contextualSpacing/>
        <w:jc w:val="both"/>
        <w:rPr>
          <w:rFonts w:ascii="Times-Roman" w:eastAsia="Times New Roman" w:hAnsi="Times-Roman" w:cs="Times-Roman"/>
          <w:b/>
          <w:lang w:eastAsia="lt-LT"/>
        </w:rPr>
      </w:pPr>
      <w:r w:rsidRPr="0077662B">
        <w:rPr>
          <w:rFonts w:eastAsia="Times New Roman" w:cs="Times New Roman"/>
          <w:lang w:eastAsia="lt-LT"/>
        </w:rPr>
        <w:t>Įgyvendinamos atnaujintos ir papildytos ikimokyklinio ugdymo  ,,Vaikystės spindulėliai“ ir  priešmokyklinio  ugdymo programos;</w:t>
      </w:r>
    </w:p>
    <w:p w:rsidR="0077662B" w:rsidRPr="0077662B" w:rsidRDefault="0077662B" w:rsidP="0077662B">
      <w:pPr>
        <w:numPr>
          <w:ilvl w:val="0"/>
          <w:numId w:val="2"/>
        </w:numPr>
        <w:autoSpaceDE w:val="0"/>
        <w:autoSpaceDN w:val="0"/>
        <w:adjustRightInd w:val="0"/>
        <w:contextualSpacing/>
        <w:jc w:val="both"/>
        <w:rPr>
          <w:rFonts w:ascii="Times-Roman" w:eastAsia="Times New Roman" w:hAnsi="Times-Roman" w:cs="Times-Roman"/>
          <w:b/>
          <w:lang w:eastAsia="lt-LT"/>
        </w:rPr>
      </w:pPr>
      <w:r w:rsidRPr="0077662B">
        <w:rPr>
          <w:rFonts w:eastAsia="Times New Roman" w:cs="Times New Roman"/>
          <w:lang w:eastAsia="lt-LT"/>
        </w:rPr>
        <w:t>Bendradarbiaujama su steigėju ir socialiniais partneriais, papildant edukacines erdves vaikų sveikatai ir saugumui užtikrinti;</w:t>
      </w:r>
    </w:p>
    <w:p w:rsidR="0077662B" w:rsidRPr="0077662B" w:rsidRDefault="0077662B" w:rsidP="0077662B">
      <w:pPr>
        <w:numPr>
          <w:ilvl w:val="0"/>
          <w:numId w:val="2"/>
        </w:numPr>
        <w:ind w:right="-81"/>
        <w:contextualSpacing/>
        <w:jc w:val="both"/>
        <w:rPr>
          <w:rFonts w:eastAsia="Times New Roman" w:cs="Times New Roman"/>
          <w:lang w:eastAsia="lt-LT"/>
        </w:rPr>
      </w:pPr>
      <w:r w:rsidRPr="0077662B">
        <w:rPr>
          <w:rFonts w:ascii="Palemonas" w:eastAsia="Times New Roman" w:hAnsi="Palemonas" w:cs="Times New Roman"/>
          <w:lang w:eastAsia="lt-LT"/>
        </w:rPr>
        <w:t>Puoselėjamos unikalios  įstaigos tradicijos, ugdomi vaikų meniniai gebėjimai, organizuojant Menų dienas,  vykdant meninius projektus ir programas;</w:t>
      </w:r>
    </w:p>
    <w:p w:rsidR="0077662B" w:rsidRPr="0077662B" w:rsidRDefault="0077662B" w:rsidP="0077662B">
      <w:pPr>
        <w:numPr>
          <w:ilvl w:val="0"/>
          <w:numId w:val="2"/>
        </w:numPr>
        <w:ind w:right="-81"/>
        <w:contextualSpacing/>
        <w:jc w:val="both"/>
        <w:rPr>
          <w:rFonts w:eastAsia="Times New Roman" w:cs="Times New Roman"/>
          <w:lang w:eastAsia="lt-LT"/>
        </w:rPr>
      </w:pPr>
      <w:r w:rsidRPr="0077662B">
        <w:rPr>
          <w:rFonts w:ascii="Palemonas" w:eastAsia="Times New Roman" w:hAnsi="Palemonas" w:cs="Times New Roman"/>
          <w:lang w:eastAsia="lt-LT"/>
        </w:rPr>
        <w:t>Skleidžiama geroji patirtis, didinant įstaigos populiarumą ir prestižą už mokyklos ribų;</w:t>
      </w:r>
    </w:p>
    <w:p w:rsidR="0077662B" w:rsidRPr="0077662B" w:rsidRDefault="0077662B" w:rsidP="0077662B">
      <w:pPr>
        <w:numPr>
          <w:ilvl w:val="0"/>
          <w:numId w:val="2"/>
        </w:numPr>
        <w:ind w:right="-81"/>
        <w:contextualSpacing/>
        <w:jc w:val="both"/>
        <w:rPr>
          <w:rFonts w:eastAsia="Times New Roman" w:cs="Times New Roman"/>
          <w:lang w:eastAsia="lt-LT"/>
        </w:rPr>
      </w:pPr>
      <w:r w:rsidRPr="0077662B">
        <w:rPr>
          <w:rFonts w:eastAsia="Times New Roman" w:cs="Times New Roman"/>
          <w:lang w:eastAsia="lt-LT"/>
        </w:rPr>
        <w:t>Ieškoma naujų būdų ir galimybių lėšų pritraukimui, dalyvaujant projektuose;</w:t>
      </w:r>
    </w:p>
    <w:p w:rsidR="0077662B" w:rsidRPr="0077662B" w:rsidRDefault="0077662B" w:rsidP="0077662B">
      <w:pPr>
        <w:numPr>
          <w:ilvl w:val="0"/>
          <w:numId w:val="2"/>
        </w:numPr>
        <w:autoSpaceDE w:val="0"/>
        <w:autoSpaceDN w:val="0"/>
        <w:adjustRightInd w:val="0"/>
        <w:contextualSpacing/>
        <w:jc w:val="both"/>
        <w:rPr>
          <w:rFonts w:ascii="Times-Roman" w:eastAsia="Times New Roman" w:hAnsi="Times-Roman" w:cs="Times-Roman"/>
          <w:lang w:eastAsia="lt-LT"/>
        </w:rPr>
      </w:pPr>
      <w:r w:rsidRPr="0077662B">
        <w:rPr>
          <w:rFonts w:eastAsia="Times New Roman" w:cs="Times New Roman"/>
          <w:lang w:eastAsia="lt-LT"/>
        </w:rPr>
        <w:t>Plėtojamos papildomo ugdymo paslaugos,</w:t>
      </w:r>
      <w:r w:rsidRPr="0077662B">
        <w:rPr>
          <w:rFonts w:ascii="Times-Roman" w:eastAsia="Times New Roman" w:hAnsi="Times-Roman" w:cs="Times-Roman"/>
          <w:lang w:eastAsia="lt-LT"/>
        </w:rPr>
        <w:t xml:space="preserve"> ryšiai su socialiniais partneriais;</w:t>
      </w:r>
    </w:p>
    <w:p w:rsidR="0077662B" w:rsidRPr="0077662B" w:rsidRDefault="0077662B" w:rsidP="0077662B">
      <w:pPr>
        <w:numPr>
          <w:ilvl w:val="0"/>
          <w:numId w:val="2"/>
        </w:numPr>
        <w:autoSpaceDE w:val="0"/>
        <w:autoSpaceDN w:val="0"/>
        <w:adjustRightInd w:val="0"/>
        <w:contextualSpacing/>
        <w:jc w:val="both"/>
        <w:rPr>
          <w:rFonts w:ascii="Times-Roman" w:eastAsia="Times New Roman" w:hAnsi="Times-Roman" w:cs="Times-Roman"/>
          <w:lang w:eastAsia="lt-LT"/>
        </w:rPr>
      </w:pPr>
      <w:r w:rsidRPr="0077662B">
        <w:rPr>
          <w:rFonts w:ascii="Times-Roman" w:eastAsia="Times New Roman" w:hAnsi="Times-Roman" w:cs="Times-Roman"/>
          <w:lang w:eastAsia="lt-LT"/>
        </w:rPr>
        <w:t xml:space="preserve">Vykdoma 2% </w:t>
      </w:r>
      <w:r w:rsidRPr="0077662B">
        <w:rPr>
          <w:rFonts w:eastAsia="Times New Roman" w:cs="Times-Roman"/>
          <w:lang w:eastAsia="lt-LT"/>
        </w:rPr>
        <w:t>GPM parama.</w:t>
      </w:r>
    </w:p>
    <w:p w:rsidR="0077662B" w:rsidRPr="0077662B" w:rsidRDefault="0077662B" w:rsidP="0077662B">
      <w:pPr>
        <w:autoSpaceDE w:val="0"/>
        <w:autoSpaceDN w:val="0"/>
        <w:adjustRightInd w:val="0"/>
        <w:ind w:left="1500"/>
        <w:contextualSpacing/>
        <w:jc w:val="both"/>
        <w:rPr>
          <w:rFonts w:ascii="Times-Roman" w:eastAsia="Times New Roman" w:hAnsi="Times-Roman" w:cs="Times-Roman"/>
          <w:lang w:eastAsia="lt-LT"/>
        </w:rPr>
      </w:pPr>
    </w:p>
    <w:p w:rsidR="0077662B" w:rsidRPr="0077662B" w:rsidRDefault="0077662B" w:rsidP="0077662B">
      <w:pPr>
        <w:autoSpaceDE w:val="0"/>
        <w:autoSpaceDN w:val="0"/>
        <w:adjustRightInd w:val="0"/>
        <w:jc w:val="both"/>
        <w:rPr>
          <w:rFonts w:eastAsia="Times New Roman" w:cs="Times New Roman"/>
          <w:lang w:eastAsia="lt-LT"/>
        </w:rPr>
      </w:pPr>
      <w:r w:rsidRPr="0077662B">
        <w:rPr>
          <w:rFonts w:eastAsia="Times New Roman" w:cs="Times New Roman"/>
          <w:lang w:eastAsia="lt-LT"/>
        </w:rPr>
        <w:tab/>
        <w:t>Lietuvos Respublikos Švietimo ir mokslo ministro 2016 m. liepos 22 d. įsakymu Nr. V-674 patvirtintas Priešmokyklinio ugdymo organizavimo aprašas, kuriuo vadovaujantis patvirtinus ilgesnį nei 33 val. per savaitę modelį, 2016 m. su priešmokyklinio amžiaus vaikais grupėje dirbo priešmokyklinio ugdymo pedagogai.</w:t>
      </w:r>
    </w:p>
    <w:p w:rsidR="0077662B" w:rsidRPr="0077662B" w:rsidRDefault="0077662B" w:rsidP="0077662B">
      <w:pPr>
        <w:autoSpaceDE w:val="0"/>
        <w:autoSpaceDN w:val="0"/>
        <w:adjustRightInd w:val="0"/>
        <w:jc w:val="both"/>
        <w:rPr>
          <w:rFonts w:eastAsia="Times New Roman" w:cs="Times New Roman"/>
          <w:color w:val="000000"/>
          <w:lang w:eastAsia="lt-LT"/>
        </w:rPr>
      </w:pPr>
      <w:r w:rsidRPr="0077662B">
        <w:rPr>
          <w:rFonts w:eastAsia="Times New Roman" w:cs="Times New Roman"/>
          <w:lang w:eastAsia="lt-LT"/>
        </w:rPr>
        <w:tab/>
      </w:r>
      <w:r w:rsidRPr="0077662B">
        <w:rPr>
          <w:rFonts w:eastAsia="Times New Roman" w:cs="Times New Roman"/>
          <w:color w:val="000000"/>
          <w:lang w:eastAsia="lt-LT"/>
        </w:rPr>
        <w:t xml:space="preserve">2016 m. Panevėžio lopšelis-darželis ,,Taika“ domėjosi Lietuvos Respublikos švietimo ir mokslo ministerijos ir kitų ministerijų teikiamais pasiūlymais dalyvauti respublikiniuose projektuose. Mokykla dalyvavo Lietuvos Respublikos žemės ūkio ministerijos šviečiamojoje gyvulininkystės programoje ,,Augink, rūpinkis, mylėk“ pagal I modulį, gavo edukacinę švietėjišką ir finansinę paramą. </w:t>
      </w:r>
      <w:r w:rsidRPr="0077662B">
        <w:rPr>
          <w:rFonts w:eastAsia="Times New Roman" w:cs="Times New Roman"/>
          <w:color w:val="000000"/>
          <w:lang w:eastAsia="lt-LT"/>
        </w:rPr>
        <w:tab/>
      </w:r>
      <w:r w:rsidRPr="0077662B">
        <w:rPr>
          <w:rFonts w:eastAsia="Times New Roman" w:cs="Times New Roman"/>
          <w:lang w:eastAsia="lt-LT"/>
        </w:rPr>
        <w:t>Patvirtintas Panevėžio miesto savivaldybės administracijos švietimo skyriaus vedėjo 2016-06-03 įsakymu  Nr. VĮ-148 ,,Dėl ikimokyklinio ugdymo mokyklų vaikų registracijos ir eilių sudarymo tvarkos aprašo įgyvendinimo 2016-2017 mokslo metams“ vaikų registravimo ir eilių sudarymo reglamentas įstaigose, lopšelyje-darželyje ,,Taika“ buvo paskirtas duomenų bazės tvarkytojas, atsakingas už prašymų registravimą dėl priėmimo į ikimokyklinio ir priešmokyklinio amžiaus grupes, buvo sudaryta galimybė tėvams  registruoti vaikus į laisvas vietas internetu.</w:t>
      </w:r>
    </w:p>
    <w:p w:rsidR="0077662B" w:rsidRPr="0077662B" w:rsidRDefault="0077662B" w:rsidP="0077662B">
      <w:pPr>
        <w:ind w:right="-81"/>
        <w:contextualSpacing/>
        <w:jc w:val="both"/>
        <w:rPr>
          <w:rFonts w:eastAsia="Times New Roman" w:cs="Times New Roman"/>
          <w:lang w:eastAsia="lt-LT"/>
        </w:rPr>
      </w:pPr>
      <w:r w:rsidRPr="0077662B">
        <w:rPr>
          <w:rFonts w:eastAsia="Times New Roman" w:cs="Times New Roman"/>
          <w:lang w:eastAsia="lt-LT"/>
        </w:rPr>
        <w:tab/>
        <w:t>Panevėžio lopšelis-darželis ,,Taika“ aktyviai dalyvavo</w:t>
      </w:r>
      <w:r w:rsidRPr="0077662B">
        <w:rPr>
          <w:rFonts w:ascii="Times-Roman" w:eastAsia="Times New Roman" w:hAnsi="Times-Roman" w:cs="Times-Roman"/>
          <w:lang w:eastAsia="lt-LT"/>
        </w:rPr>
        <w:t xml:space="preserve"> respublikinėje ikimokyklinio ugdymo kūno kultūros pedagogų asociacijos (RIUKKPA) veikloje. 2016 m. vaikai dalyvavo asociacijos organizuotame respublikiniame konkurse ,,Mažųjų olimpiada“, bendruomenė aktyviai įsijungė LTO ir LOA organizuotą</w:t>
      </w:r>
      <w:r w:rsidRPr="0077662B">
        <w:rPr>
          <w:rFonts w:eastAsia="Times New Roman" w:cs="Times New Roman"/>
          <w:lang w:eastAsia="lt-LT"/>
        </w:rPr>
        <w:t xml:space="preserve"> Europos judėjimo savaitei skirtą visuotinį bėgimą ,,Aš, mama, tėtis ir visa bendruomenė“. Bendradarbiaujant su Aukštaitijos krepšinio mokykla, lopšelio-darželio ,,Taika“ krepšinio komanda dalyvavo 2016 m. miesto krepšinio ikimokyklinių įstaigų krepšinio varžybose. Lopšelyje-darželyje ,,Taika‘ nuo  2016 m. vyksta jaunųjų  šachmatininkų užsiėmimai .</w:t>
      </w:r>
    </w:p>
    <w:p w:rsidR="0077662B" w:rsidRPr="0077662B" w:rsidRDefault="0077662B" w:rsidP="0077662B">
      <w:pPr>
        <w:ind w:right="-81"/>
        <w:jc w:val="both"/>
        <w:rPr>
          <w:rFonts w:eastAsia="Times New Roman" w:cs="Times New Roman"/>
          <w:lang w:eastAsia="lt-LT"/>
        </w:rPr>
      </w:pPr>
      <w:r w:rsidRPr="0077662B">
        <w:rPr>
          <w:rFonts w:eastAsia="Times New Roman" w:cs="Times New Roman"/>
          <w:lang w:eastAsia="lt-LT"/>
        </w:rPr>
        <w:tab/>
        <w:t>Panevėžio miesto savivaldybės administracijos direktoriaus 2016 m. rugsėjo 7 d. įsakymu Nr. A-951 ,,Dėl Panevėžio miesto savivaldybės švietimo įstaigų pasirinktų ikimokyklinio ir  priešmokyklinio ugdymo organizavimo modelių 2016-2017 mokslo metams patvirtinimo“ Panevėžio lopšelyje-darželyje ,,Taika“ patvirtinti vaikų ugdymo modeliai sekančiai:</w:t>
      </w:r>
    </w:p>
    <w:p w:rsidR="0077662B" w:rsidRPr="0077662B" w:rsidRDefault="0077662B" w:rsidP="0077662B">
      <w:pPr>
        <w:ind w:right="-81"/>
        <w:jc w:val="both"/>
        <w:rPr>
          <w:rFonts w:eastAsia="Times New Roman" w:cs="Times New Roman"/>
          <w:lang w:eastAsia="lt-LT"/>
        </w:rPr>
      </w:pPr>
      <w:r w:rsidRPr="0077662B">
        <w:rPr>
          <w:rFonts w:eastAsia="Times New Roman" w:cs="Times New Roman"/>
          <w:lang w:eastAsia="lt-LT"/>
        </w:rPr>
        <w:t>1. pagal VII modelį 3 lopšelio grupės, kurių veiklos trukmė 10,8 val. per dieną (54 val. per savaitę) ir</w:t>
      </w:r>
    </w:p>
    <w:p w:rsidR="0077662B" w:rsidRPr="0077662B" w:rsidRDefault="0077662B" w:rsidP="0077662B">
      <w:pPr>
        <w:ind w:right="-81"/>
        <w:jc w:val="both"/>
        <w:rPr>
          <w:rFonts w:eastAsia="Times New Roman" w:cs="Times New Roman"/>
          <w:lang w:eastAsia="lt-LT"/>
        </w:rPr>
      </w:pPr>
      <w:r w:rsidRPr="0077662B">
        <w:rPr>
          <w:rFonts w:eastAsia="Times New Roman" w:cs="Times New Roman"/>
          <w:lang w:eastAsia="lt-LT"/>
        </w:rPr>
        <w:t xml:space="preserve"> 3 darželio grupės, kurių veiklos trukmė 10,8 val. per dieną (54 val. per savaitę); </w:t>
      </w:r>
    </w:p>
    <w:p w:rsidR="0077662B" w:rsidRPr="0077662B" w:rsidRDefault="0077662B" w:rsidP="0077662B">
      <w:pPr>
        <w:ind w:right="-81"/>
        <w:jc w:val="both"/>
        <w:rPr>
          <w:rFonts w:eastAsia="Times New Roman" w:cs="Times New Roman"/>
          <w:lang w:eastAsia="lt-LT"/>
        </w:rPr>
      </w:pPr>
      <w:r w:rsidRPr="0077662B">
        <w:rPr>
          <w:rFonts w:eastAsia="Times New Roman" w:cs="Times New Roman"/>
          <w:lang w:eastAsia="lt-LT"/>
        </w:rPr>
        <w:t xml:space="preserve">2. pagal VII modelį 2 priešmokyklinės grupės, kurios veiklos trukmė 10,8 val. per dieną (54 val. per savaitę). </w:t>
      </w:r>
    </w:p>
    <w:p w:rsidR="0077662B" w:rsidRPr="0077662B" w:rsidRDefault="0077662B" w:rsidP="0077662B">
      <w:pPr>
        <w:ind w:right="-81"/>
        <w:jc w:val="both"/>
        <w:rPr>
          <w:rFonts w:eastAsia="Times New Roman" w:cs="Times New Roman"/>
          <w:lang w:eastAsia="lt-LT"/>
        </w:rPr>
      </w:pPr>
      <w:r w:rsidRPr="0077662B">
        <w:rPr>
          <w:rFonts w:eastAsia="Times New Roman" w:cs="Times New Roman"/>
          <w:lang w:eastAsia="lt-LT"/>
        </w:rPr>
        <w:t>3. pagal XIII modelį 1 jungtinė darželio grupė, kurios veiklos trukmė 10,8 val. per dieną (54 val. per savaitę).</w:t>
      </w:r>
    </w:p>
    <w:p w:rsidR="0077662B" w:rsidRPr="0077662B" w:rsidRDefault="0077662B" w:rsidP="0077662B">
      <w:pPr>
        <w:ind w:right="-81"/>
        <w:jc w:val="both"/>
        <w:rPr>
          <w:rFonts w:eastAsia="Times New Roman" w:cs="Times New Roman"/>
          <w:lang w:eastAsia="lt-LT"/>
        </w:rPr>
      </w:pPr>
    </w:p>
    <w:p w:rsidR="0077662B" w:rsidRPr="0077662B" w:rsidRDefault="0077662B" w:rsidP="0077662B">
      <w:pPr>
        <w:ind w:right="-81"/>
        <w:jc w:val="both"/>
        <w:rPr>
          <w:rFonts w:eastAsia="Times New Roman" w:cs="Times New Roman"/>
          <w:lang w:eastAsia="lt-LT"/>
        </w:rPr>
      </w:pPr>
    </w:p>
    <w:p w:rsidR="0077662B" w:rsidRPr="0077662B" w:rsidRDefault="0077662B" w:rsidP="0077662B">
      <w:pPr>
        <w:ind w:right="-81"/>
        <w:jc w:val="both"/>
        <w:rPr>
          <w:rFonts w:eastAsia="Times New Roman" w:cs="Times New Roman"/>
          <w:lang w:eastAsia="lt-LT"/>
        </w:rPr>
      </w:pPr>
    </w:p>
    <w:p w:rsidR="0077662B" w:rsidRPr="0077662B" w:rsidRDefault="0077662B" w:rsidP="0077662B">
      <w:pPr>
        <w:ind w:right="-81"/>
        <w:jc w:val="both"/>
        <w:rPr>
          <w:rFonts w:eastAsia="Times New Roman" w:cs="Times New Roman"/>
          <w:lang w:eastAsia="lt-LT"/>
        </w:rPr>
      </w:pPr>
    </w:p>
    <w:p w:rsidR="0077662B" w:rsidRPr="0077662B" w:rsidRDefault="0077662B" w:rsidP="0077662B">
      <w:pPr>
        <w:ind w:right="-81"/>
        <w:jc w:val="both"/>
        <w:rPr>
          <w:rFonts w:eastAsia="Times New Roman" w:cs="Times New Roman"/>
          <w:lang w:eastAsia="lt-LT"/>
        </w:rPr>
      </w:pPr>
    </w:p>
    <w:p w:rsidR="0077662B" w:rsidRPr="0077662B" w:rsidRDefault="0077662B" w:rsidP="0077662B">
      <w:pPr>
        <w:ind w:right="-81"/>
        <w:jc w:val="both"/>
        <w:rPr>
          <w:rFonts w:eastAsia="Times New Roman" w:cs="Times New Roman"/>
          <w:lang w:eastAsia="lt-LT"/>
        </w:rPr>
      </w:pPr>
    </w:p>
    <w:p w:rsidR="0077662B" w:rsidRPr="0077662B" w:rsidRDefault="0077662B" w:rsidP="0077662B">
      <w:pPr>
        <w:ind w:right="-81"/>
        <w:jc w:val="both"/>
        <w:rPr>
          <w:rFonts w:eastAsia="Times New Roman" w:cs="Times New Roman"/>
          <w:lang w:eastAsia="lt-LT"/>
        </w:rPr>
      </w:pPr>
    </w:p>
    <w:p w:rsidR="0077662B" w:rsidRPr="0077662B" w:rsidRDefault="0077662B" w:rsidP="0077662B">
      <w:pPr>
        <w:ind w:right="-81"/>
        <w:jc w:val="both"/>
        <w:rPr>
          <w:rFonts w:eastAsia="Times New Roman" w:cs="Times New Roman"/>
          <w:lang w:eastAsia="lt-LT"/>
        </w:rPr>
      </w:pPr>
    </w:p>
    <w:p w:rsidR="0077662B" w:rsidRPr="0077662B" w:rsidRDefault="0077662B" w:rsidP="0077662B">
      <w:pPr>
        <w:ind w:right="-81"/>
        <w:jc w:val="both"/>
        <w:rPr>
          <w:rFonts w:eastAsia="Times New Roman" w:cs="Times New Roman"/>
          <w:lang w:eastAsia="lt-LT"/>
        </w:rPr>
      </w:pPr>
    </w:p>
    <w:p w:rsidR="0077662B" w:rsidRPr="0077662B" w:rsidRDefault="0077662B" w:rsidP="0077662B">
      <w:pPr>
        <w:ind w:right="-81"/>
        <w:jc w:val="both"/>
        <w:rPr>
          <w:rFonts w:eastAsia="Times New Roman" w:cs="Times New Roman"/>
          <w:lang w:eastAsia="lt-LT"/>
        </w:rPr>
      </w:pPr>
    </w:p>
    <w:p w:rsidR="0077662B" w:rsidRPr="0077662B" w:rsidRDefault="0077662B" w:rsidP="0077662B">
      <w:pPr>
        <w:rPr>
          <w:rFonts w:eastAsia="Times New Roman" w:cs="Times New Roman"/>
          <w:sz w:val="22"/>
          <w:lang w:eastAsia="lt-LT"/>
        </w:rPr>
      </w:pPr>
      <w:r w:rsidRPr="0077662B">
        <w:rPr>
          <w:rFonts w:eastAsia="Times New Roman" w:cs="Times New Roman"/>
          <w:b/>
          <w:bCs/>
          <w:lang w:eastAsia="lt-LT"/>
        </w:rPr>
        <w:lastRenderedPageBreak/>
        <w:t>IKIMOKYKLINIO IR PRIEŠMOKYKLINIO UGDYMO ORGANIZAVIMO MODELIAI</w:t>
      </w:r>
    </w:p>
    <w:p w:rsidR="0077662B" w:rsidRPr="0077662B" w:rsidRDefault="0077662B" w:rsidP="0077662B">
      <w:pPr>
        <w:rPr>
          <w:rFonts w:eastAsia="Times New Roman" w:cs="Times New Roman"/>
          <w:sz w:val="22"/>
          <w:lang w:eastAsia="lt-LT"/>
        </w:rPr>
      </w:pPr>
    </w:p>
    <w:p w:rsidR="0077662B" w:rsidRPr="0077662B" w:rsidRDefault="0077662B" w:rsidP="0077662B">
      <w:pPr>
        <w:spacing w:before="45" w:after="45"/>
        <w:jc w:val="both"/>
        <w:rPr>
          <w:rFonts w:ascii="Arial" w:eastAsia="Times New Roman" w:hAnsi="Arial" w:cs="Arial"/>
          <w:color w:val="000000"/>
          <w:sz w:val="18"/>
          <w:szCs w:val="18"/>
        </w:rPr>
      </w:pPr>
      <w:r w:rsidRPr="0077662B">
        <w:rPr>
          <w:rFonts w:ascii="Arial" w:eastAsia="Times New Roman" w:hAnsi="Arial" w:cs="Arial"/>
          <w:noProof/>
          <w:color w:val="000000"/>
          <w:sz w:val="18"/>
          <w:szCs w:val="18"/>
          <w:lang w:eastAsia="lt-LT"/>
        </w:rPr>
        <w:drawing>
          <wp:inline distT="0" distB="0" distL="0" distR="0" wp14:anchorId="2CDCB2B2" wp14:editId="29C032C1">
            <wp:extent cx="6238875" cy="1866900"/>
            <wp:effectExtent l="0" t="38100" r="0" b="3810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662B" w:rsidRPr="0077662B" w:rsidRDefault="0077662B" w:rsidP="0077662B">
      <w:pPr>
        <w:ind w:right="-81"/>
        <w:jc w:val="right"/>
        <w:rPr>
          <w:rFonts w:eastAsia="Times New Roman" w:cs="Times New Roman"/>
          <w:lang w:eastAsia="lt-LT"/>
        </w:rPr>
      </w:pPr>
      <w:r w:rsidRPr="0077662B">
        <w:rPr>
          <w:rFonts w:ascii="TimesNewRomanPSMT" w:eastAsia="Times New Roman" w:hAnsi="TimesNewRomanPSMT" w:cs="TimesNewRomanPSMT"/>
          <w:lang w:eastAsia="lt-LT"/>
        </w:rPr>
        <w:tab/>
      </w:r>
      <w:r w:rsidRPr="0077662B">
        <w:rPr>
          <w:rFonts w:eastAsia="Times New Roman" w:cs="Times New Roman"/>
          <w:bCs/>
          <w:lang w:eastAsia="lt-LT"/>
        </w:rPr>
        <w:t>4 diagrama.</w:t>
      </w:r>
    </w:p>
    <w:p w:rsidR="0077662B" w:rsidRPr="0077662B" w:rsidRDefault="0077662B" w:rsidP="0077662B">
      <w:pPr>
        <w:autoSpaceDE w:val="0"/>
        <w:autoSpaceDN w:val="0"/>
        <w:adjustRightInd w:val="0"/>
        <w:jc w:val="both"/>
        <w:rPr>
          <w:rFonts w:ascii="TimesNewRomanPSMT" w:eastAsia="Times New Roman" w:hAnsi="TimesNewRomanPSMT" w:cs="TimesNewRomanPSMT"/>
          <w:lang w:eastAsia="lt-LT"/>
        </w:rPr>
      </w:pPr>
    </w:p>
    <w:p w:rsidR="0077662B" w:rsidRPr="0077662B" w:rsidRDefault="0077662B" w:rsidP="0077662B">
      <w:pPr>
        <w:autoSpaceDE w:val="0"/>
        <w:autoSpaceDN w:val="0"/>
        <w:adjustRightInd w:val="0"/>
        <w:jc w:val="both"/>
        <w:rPr>
          <w:rFonts w:ascii="TimesNewRomanPSMT" w:eastAsia="Times New Roman" w:hAnsi="TimesNewRomanPSMT" w:cs="TimesNewRomanPSMT"/>
          <w:lang w:eastAsia="lt-LT"/>
        </w:rPr>
      </w:pPr>
      <w:r w:rsidRPr="0077662B">
        <w:rPr>
          <w:rFonts w:ascii="TimesNewRomanPSMT" w:eastAsia="Times New Roman" w:hAnsi="TimesNewRomanPSMT" w:cs="TimesNewRomanPSMT"/>
          <w:lang w:eastAsia="lt-LT"/>
        </w:rPr>
        <w:t>Panevėžio miesto savivaldybės administracijos švietimo skyriaus vedėjo 2014 m. gruodžio 18 d.  įsakymu Nr. VĮ-256 įstaigos direktoriui ir direktoriaus pavaduotojui ugdymui patvirtinta turima III-čia vadybos kvalifikacinė kategorija iki  2020 m. sausio 1 d. Visi mokytojai  kėlė kvalifikaciją, dalyvavo kvalifikacijos tobulinimo kursuose ir seminaruose.</w:t>
      </w:r>
    </w:p>
    <w:p w:rsidR="0077662B" w:rsidRPr="0077662B" w:rsidRDefault="0077662B" w:rsidP="0077662B">
      <w:pPr>
        <w:tabs>
          <w:tab w:val="left" w:pos="900"/>
          <w:tab w:val="center" w:pos="4986"/>
          <w:tab w:val="right" w:pos="8280"/>
          <w:tab w:val="right" w:pos="9972"/>
        </w:tabs>
        <w:jc w:val="both"/>
        <w:outlineLvl w:val="0"/>
        <w:rPr>
          <w:rFonts w:ascii="TimesNewRomanPSMT" w:eastAsia="Times New Roman" w:hAnsi="TimesNewRomanPSMT" w:cs="TimesNewRomanPSMT"/>
          <w:lang w:eastAsia="lt-LT"/>
        </w:rPr>
      </w:pPr>
      <w:r w:rsidRPr="0077662B">
        <w:rPr>
          <w:rFonts w:eastAsia="Times New Roman" w:cs="Times New Roman"/>
          <w:lang w:eastAsia="lt-LT"/>
        </w:rPr>
        <w:tab/>
        <w:t xml:space="preserve">2016 m. mokytojai kvalifikacinius renginius pasirinko pagal keliamus strateginius vaikų ugdymo (si) tikslus: siekti vaikų ugdymo pokyčių (24 seminarai), stiprinti vaikų sveikatą (17 seminarų), ugdyti vaikų meninius gebėjimus (18 seminarų), skatinti mokytojų kūrybiškumą, konkurencingumą (31 seminarai), IKT – 9. </w:t>
      </w:r>
      <w:r w:rsidRPr="0077662B">
        <w:rPr>
          <w:rFonts w:ascii="TimesNewRomanPSMT" w:eastAsia="Times New Roman" w:hAnsi="TimesNewRomanPSMT" w:cs="TimesNewRomanPSMT"/>
          <w:lang w:eastAsia="lt-LT"/>
        </w:rPr>
        <w:t>Vienam mokytojui per metus vidutiniškai tenka septyni kvalifikaciniai seminarai, vidutiniškai 64 val.</w:t>
      </w:r>
    </w:p>
    <w:p w:rsidR="0077662B" w:rsidRPr="0077662B" w:rsidRDefault="0077662B" w:rsidP="0077662B">
      <w:pPr>
        <w:autoSpaceDE w:val="0"/>
        <w:autoSpaceDN w:val="0"/>
        <w:adjustRightInd w:val="0"/>
        <w:ind w:firstLine="720"/>
        <w:jc w:val="center"/>
        <w:rPr>
          <w:rFonts w:ascii="TimesNewRomanPSMT" w:eastAsia="Times New Roman" w:hAnsi="TimesNewRomanPSMT" w:cs="TimesNewRomanPSMT"/>
          <w:b/>
          <w:lang w:eastAsia="lt-LT"/>
        </w:rPr>
      </w:pPr>
    </w:p>
    <w:p w:rsidR="0077662B" w:rsidRPr="0077662B" w:rsidRDefault="0077662B" w:rsidP="0077662B">
      <w:pPr>
        <w:autoSpaceDE w:val="0"/>
        <w:autoSpaceDN w:val="0"/>
        <w:adjustRightInd w:val="0"/>
        <w:ind w:firstLine="720"/>
        <w:jc w:val="center"/>
        <w:rPr>
          <w:rFonts w:ascii="TimesNewRomanPSMT" w:eastAsia="Times New Roman" w:hAnsi="TimesNewRomanPSMT" w:cs="TimesNewRomanPSMT"/>
          <w:b/>
          <w:lang w:eastAsia="lt-LT"/>
        </w:rPr>
      </w:pPr>
    </w:p>
    <w:p w:rsidR="0077662B" w:rsidRPr="0077662B" w:rsidRDefault="0077662B" w:rsidP="0077662B">
      <w:pPr>
        <w:autoSpaceDE w:val="0"/>
        <w:autoSpaceDN w:val="0"/>
        <w:adjustRightInd w:val="0"/>
        <w:ind w:firstLine="720"/>
        <w:jc w:val="center"/>
        <w:rPr>
          <w:rFonts w:ascii="TimesNewRomanPSMT" w:eastAsia="Times New Roman" w:hAnsi="TimesNewRomanPSMT" w:cs="TimesNewRomanPSMT"/>
          <w:b/>
          <w:lang w:eastAsia="lt-LT"/>
        </w:rPr>
      </w:pPr>
    </w:p>
    <w:p w:rsidR="0077662B" w:rsidRPr="0077662B" w:rsidRDefault="0077662B" w:rsidP="0077662B">
      <w:pPr>
        <w:autoSpaceDE w:val="0"/>
        <w:autoSpaceDN w:val="0"/>
        <w:adjustRightInd w:val="0"/>
        <w:ind w:firstLine="720"/>
        <w:jc w:val="center"/>
        <w:rPr>
          <w:rFonts w:ascii="TimesNewRomanPSMT" w:eastAsia="Times New Roman" w:hAnsi="TimesNewRomanPSMT" w:cs="TimesNewRomanPSMT"/>
          <w:b/>
          <w:lang w:eastAsia="lt-LT"/>
        </w:rPr>
      </w:pPr>
      <w:r w:rsidRPr="0077662B">
        <w:rPr>
          <w:rFonts w:ascii="TimesNewRomanPSMT" w:eastAsia="Times New Roman" w:hAnsi="TimesNewRomanPSMT" w:cs="TimesNewRomanPSMT"/>
          <w:b/>
          <w:lang w:eastAsia="lt-LT"/>
        </w:rPr>
        <w:t>MOKYTOJŲ DARBO STAŽAS 2016 METAIS</w:t>
      </w:r>
    </w:p>
    <w:p w:rsidR="0077662B" w:rsidRPr="0077662B" w:rsidRDefault="0077662B" w:rsidP="0077662B">
      <w:pPr>
        <w:rPr>
          <w:rFonts w:ascii="TimesNewRomanPSMT" w:eastAsia="Times New Roman" w:hAnsi="TimesNewRomanPSMT" w:cs="TimesNewRomanPSMT"/>
          <w:color w:val="FFFF99"/>
          <w:lang w:eastAsia="lt-LT"/>
        </w:rPr>
      </w:pPr>
      <w:r w:rsidRPr="0077662B">
        <w:rPr>
          <w:rFonts w:eastAsia="Times New Roman" w:cs="Times New Roman"/>
          <w:bCs/>
          <w:lang w:eastAsia="lt-LT"/>
        </w:rPr>
        <w:t>5 diagrama.</w:t>
      </w:r>
    </w:p>
    <w:p w:rsidR="0077662B" w:rsidRPr="0077662B" w:rsidRDefault="0077662B" w:rsidP="0077662B">
      <w:pPr>
        <w:jc w:val="center"/>
        <w:rPr>
          <w:rFonts w:eastAsia="Times New Roman" w:cs="Times New Roman"/>
          <w:bCs/>
          <w:lang w:eastAsia="lt-LT"/>
        </w:rPr>
      </w:pPr>
      <w:r w:rsidRPr="0077662B">
        <w:rPr>
          <w:rFonts w:ascii="TimesNewRomanPSMT" w:eastAsia="Times New Roman" w:hAnsi="TimesNewRomanPSMT" w:cs="TimesNewRomanPSMT"/>
          <w:noProof/>
          <w:color w:val="FFFF99"/>
          <w:lang w:eastAsia="lt-LT"/>
        </w:rPr>
        <w:drawing>
          <wp:inline distT="0" distB="0" distL="0" distR="0" wp14:anchorId="4D67D2A8" wp14:editId="230947E2">
            <wp:extent cx="6267450" cy="1981200"/>
            <wp:effectExtent l="0" t="0" r="0" b="0"/>
            <wp:docPr id="4" name="Diagrama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662B" w:rsidRPr="0077662B" w:rsidRDefault="0077662B" w:rsidP="0077662B">
      <w:pPr>
        <w:autoSpaceDE w:val="0"/>
        <w:autoSpaceDN w:val="0"/>
        <w:adjustRightInd w:val="0"/>
        <w:jc w:val="both"/>
        <w:rPr>
          <w:rFonts w:ascii="TimesNewRomanPSMT" w:eastAsia="Times New Roman" w:hAnsi="TimesNewRomanPSMT" w:cs="TimesNewRomanPSMT"/>
          <w:lang w:eastAsia="lt-LT"/>
        </w:rPr>
      </w:pPr>
    </w:p>
    <w:p w:rsidR="0077662B" w:rsidRPr="0077662B" w:rsidRDefault="0077662B" w:rsidP="0077662B">
      <w:pPr>
        <w:autoSpaceDE w:val="0"/>
        <w:autoSpaceDN w:val="0"/>
        <w:adjustRightInd w:val="0"/>
        <w:jc w:val="both"/>
        <w:rPr>
          <w:rFonts w:ascii="TimesNewRomanPSMT" w:eastAsia="Times New Roman" w:hAnsi="TimesNewRomanPSMT" w:cs="TimesNewRomanPSMT"/>
          <w:lang w:eastAsia="lt-LT"/>
        </w:rPr>
      </w:pPr>
      <w:r w:rsidRPr="0077662B">
        <w:rPr>
          <w:rFonts w:ascii="TimesNewRomanPSMT" w:eastAsia="Times New Roman" w:hAnsi="TimesNewRomanPSMT" w:cs="TimesNewRomanPSMT"/>
          <w:lang w:eastAsia="lt-LT"/>
        </w:rPr>
        <w:t>Mokytojų, turinčių darbo stažą: nuo 1 - 4 m. – 2 mokytojai, nuo 4 m. iki 10 m. – 2 mokytojai, nuo 10 m. iki 15 m.- 3 mokytojai, nuo 20 m. iki 30 m. – 2 mokytojai, nuo 30 m.  iki 40 m.- 7 mokytojai, daugiau nei 40 m. darbo stažas – 2 mokytojai. Lopšelyje-darželyje direktoriaus įsakymais nustatytas struktūrinių padalinių vadovų bei direktoriaus ir direktoriaus pavaduotojo ugdymui funkcijų pasiskirstymas.</w:t>
      </w:r>
    </w:p>
    <w:p w:rsidR="0077662B" w:rsidRPr="0077662B" w:rsidRDefault="0077662B" w:rsidP="0077662B">
      <w:pPr>
        <w:spacing w:after="120"/>
        <w:jc w:val="center"/>
        <w:rPr>
          <w:rFonts w:eastAsia="Times New Roman" w:cs="Times New Roman"/>
          <w:b/>
          <w:bCs/>
          <w:lang w:eastAsia="lt-LT"/>
        </w:rPr>
      </w:pPr>
    </w:p>
    <w:p w:rsidR="0077662B" w:rsidRPr="0077662B" w:rsidRDefault="0077662B" w:rsidP="0077662B">
      <w:pPr>
        <w:spacing w:after="120"/>
        <w:jc w:val="center"/>
        <w:rPr>
          <w:rFonts w:eastAsia="Times New Roman" w:cs="Times New Roman"/>
          <w:b/>
          <w:bCs/>
          <w:lang w:eastAsia="lt-LT"/>
        </w:rPr>
      </w:pPr>
      <w:r w:rsidRPr="0077662B">
        <w:rPr>
          <w:rFonts w:eastAsia="Times New Roman" w:cs="Times New Roman"/>
          <w:b/>
          <w:bCs/>
          <w:lang w:eastAsia="lt-LT"/>
        </w:rPr>
        <w:t>III. ĮSTAIGOS</w:t>
      </w:r>
      <w:r w:rsidRPr="0077662B">
        <w:rPr>
          <w:rFonts w:eastAsia="Times New Roman" w:cs="Times New Roman"/>
          <w:lang w:eastAsia="lt-LT"/>
        </w:rPr>
        <w:t xml:space="preserve"> </w:t>
      </w:r>
      <w:r w:rsidRPr="0077662B">
        <w:rPr>
          <w:rFonts w:eastAsia="Times New Roman" w:cs="Times New Roman"/>
          <w:b/>
          <w:bCs/>
          <w:lang w:eastAsia="lt-LT"/>
        </w:rPr>
        <w:t>VYKDYTA VEIKLA IR PASIEKTI REZULTATAI</w:t>
      </w:r>
    </w:p>
    <w:p w:rsidR="0077662B" w:rsidRPr="0077662B" w:rsidRDefault="0077662B" w:rsidP="0077662B">
      <w:pPr>
        <w:ind w:firstLine="720"/>
        <w:jc w:val="both"/>
        <w:rPr>
          <w:rFonts w:eastAsia="Times New Roman" w:cs="Times New Roman"/>
          <w:lang w:eastAsia="lt-LT"/>
        </w:rPr>
      </w:pPr>
      <w:r w:rsidRPr="0077662B">
        <w:rPr>
          <w:rFonts w:eastAsia="Times New Roman" w:cs="Times New Roman"/>
          <w:lang w:eastAsia="lt-LT"/>
        </w:rPr>
        <w:t xml:space="preserve">2016 metais lopšelio-darželio veikla, įgyvendinant  ikimokyklinio ir priešmokyklinio ugdymo (si) programas ir ruošiant vaikus mokyklai, buvo vykdoma dviem pagrindinėmis kryptimis: vaikų saugumo ir sveikatos stiprinimo bei menine kryptimi, ugdant vaikus pagal kompetencijas. Ikimokyklinio vaikų ugdymo  ir sveikatos stiprinimo bei saugumo užtikrinimo  ugdymo (si) programų įgyvendinimo tikslai ir uždaviniai buvo aptarti mokyklos tarybos, mokytojų tarybos posėdžiuose, metodinės grupės pasitarimuose,  buvo priimti atitinkami nutarimai vaikų ugdymo proceso organizavimui ir  optimizavimui. </w:t>
      </w:r>
    </w:p>
    <w:p w:rsidR="0077662B" w:rsidRPr="0077662B" w:rsidRDefault="0077662B" w:rsidP="0077662B">
      <w:pPr>
        <w:ind w:firstLine="720"/>
        <w:jc w:val="both"/>
        <w:rPr>
          <w:rFonts w:eastAsia="Times New Roman" w:cs="Times New Roman"/>
          <w:lang w:eastAsia="lt-LT"/>
        </w:rPr>
      </w:pPr>
      <w:r w:rsidRPr="0077662B">
        <w:rPr>
          <w:rFonts w:eastAsia="Times New Roman" w:cs="Times New Roman"/>
          <w:lang w:eastAsia="lt-LT"/>
        </w:rPr>
        <w:lastRenderedPageBreak/>
        <w:t xml:space="preserve">Mokykloje priešmokyklinis ugdymas buvo organizuojamas vadovaujantis 2015-2016 m. m.  Priešmokyklinio ugdymo (si) programos ugdymo planu. 2015 - 2016 m. m.  buvo ugdomi 29 priešmokyklinio amžiaus vaikai. Visi 29 priešmokyklinio amžiaus vaikai baigė priešmokyklinio ugdymo programą. Priešmokyklinio amžiaus vaikai pasirinko tęsti ugdymą (si) mokyklų pradinėse klasėse: Alfonso </w:t>
      </w:r>
      <w:proofErr w:type="spellStart"/>
      <w:r w:rsidRPr="0077662B">
        <w:rPr>
          <w:rFonts w:eastAsia="Times New Roman" w:cs="Times New Roman"/>
          <w:lang w:eastAsia="lt-LT"/>
        </w:rPr>
        <w:t>Lipniūno</w:t>
      </w:r>
      <w:proofErr w:type="spellEnd"/>
      <w:r w:rsidRPr="0077662B">
        <w:rPr>
          <w:rFonts w:eastAsia="Times New Roman" w:cs="Times New Roman"/>
          <w:lang w:eastAsia="lt-LT"/>
        </w:rPr>
        <w:t xml:space="preserve"> progimnazijoje - 21, M. Karkos pagrindinėje mokykloje – 3 , ,,Vilties“ pagrindinėje mokykloje – 1, „Saulėtekio“ progimnazijoje – 1, Pradinėje mokykloje – 1 , ,,Šaltinio“ progimnazijoje – 1, rajono Skaistgirio gimnazijoje – 1. </w:t>
      </w:r>
      <w:r w:rsidRPr="0077662B">
        <w:rPr>
          <w:rFonts w:eastAsia="Times New Roman" w:cs="Times New Roman"/>
          <w:bCs/>
          <w:lang w:eastAsia="lt-LT"/>
        </w:rPr>
        <w:t xml:space="preserve"> </w:t>
      </w:r>
    </w:p>
    <w:p w:rsidR="0077662B" w:rsidRPr="0077662B" w:rsidRDefault="0077662B" w:rsidP="0077662B">
      <w:pPr>
        <w:jc w:val="center"/>
        <w:rPr>
          <w:rFonts w:eastAsia="Times New Roman" w:cs="Times New Roman"/>
          <w:b/>
          <w:bCs/>
          <w:lang w:eastAsia="lt-LT"/>
        </w:rPr>
      </w:pPr>
    </w:p>
    <w:p w:rsidR="0077662B" w:rsidRPr="0077662B" w:rsidRDefault="0077662B" w:rsidP="0077662B">
      <w:pPr>
        <w:jc w:val="center"/>
        <w:rPr>
          <w:rFonts w:eastAsia="Times New Roman" w:cs="Times New Roman"/>
          <w:b/>
          <w:bCs/>
          <w:lang w:eastAsia="lt-LT"/>
        </w:rPr>
      </w:pPr>
      <w:r w:rsidRPr="0077662B">
        <w:rPr>
          <w:rFonts w:eastAsia="Times New Roman" w:cs="Times New Roman"/>
          <w:b/>
          <w:bCs/>
          <w:lang w:eastAsia="lt-LT"/>
        </w:rPr>
        <w:t>PRIEŠMOKYKLINUKŲ PASISKIRSTYMAS  Į  MOKYKLAS 2016 M.</w:t>
      </w:r>
    </w:p>
    <w:p w:rsidR="0077662B" w:rsidRPr="0077662B" w:rsidRDefault="0077662B" w:rsidP="0077662B">
      <w:pPr>
        <w:jc w:val="center"/>
        <w:rPr>
          <w:rFonts w:eastAsia="Times New Roman" w:cs="Times New Roman"/>
          <w:bCs/>
          <w:lang w:eastAsia="lt-LT"/>
        </w:rPr>
      </w:pPr>
    </w:p>
    <w:p w:rsidR="0077662B" w:rsidRPr="0077662B" w:rsidRDefault="0077662B" w:rsidP="0077662B">
      <w:pPr>
        <w:ind w:firstLine="720"/>
        <w:rPr>
          <w:rFonts w:eastAsia="Times New Roman" w:cs="Times New Roman"/>
          <w:lang w:eastAsia="lt-LT"/>
        </w:rPr>
      </w:pPr>
      <w:r w:rsidRPr="0077662B">
        <w:rPr>
          <w:rFonts w:eastAsia="Times New Roman" w:cs="Times New Roman"/>
          <w:noProof/>
          <w:lang w:eastAsia="lt-LT"/>
        </w:rPr>
        <w:drawing>
          <wp:inline distT="0" distB="0" distL="0" distR="0" wp14:anchorId="36175C34" wp14:editId="39390C16">
            <wp:extent cx="5686425" cy="1352550"/>
            <wp:effectExtent l="0" t="0" r="0" b="0"/>
            <wp:docPr id="3" name="Diagrama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662B" w:rsidRPr="0077662B" w:rsidRDefault="0077662B" w:rsidP="0077662B">
      <w:pPr>
        <w:jc w:val="right"/>
        <w:rPr>
          <w:rFonts w:eastAsia="Times New Roman" w:cs="Times New Roman"/>
          <w:bCs/>
          <w:lang w:eastAsia="lt-LT"/>
        </w:rPr>
      </w:pPr>
      <w:r w:rsidRPr="0077662B">
        <w:rPr>
          <w:rFonts w:eastAsia="Times New Roman" w:cs="Times New Roman"/>
          <w:bCs/>
          <w:lang w:eastAsia="lt-LT"/>
        </w:rPr>
        <w:t>6 diagrama</w:t>
      </w:r>
    </w:p>
    <w:p w:rsidR="0077662B" w:rsidRPr="0077662B" w:rsidRDefault="0077662B" w:rsidP="0077662B">
      <w:pPr>
        <w:spacing w:after="120"/>
        <w:jc w:val="center"/>
        <w:rPr>
          <w:rFonts w:eastAsia="Times New Roman" w:cs="Times New Roman"/>
          <w:b/>
          <w:bCs/>
          <w:lang w:eastAsia="lt-LT"/>
        </w:rPr>
      </w:pPr>
    </w:p>
    <w:p w:rsidR="0077662B" w:rsidRPr="0077662B" w:rsidRDefault="0077662B" w:rsidP="0077662B">
      <w:pPr>
        <w:spacing w:after="120"/>
        <w:jc w:val="center"/>
        <w:rPr>
          <w:rFonts w:eastAsia="Times New Roman" w:cs="Times New Roman"/>
          <w:b/>
          <w:bCs/>
          <w:lang w:eastAsia="lt-LT"/>
        </w:rPr>
      </w:pPr>
      <w:r w:rsidRPr="0077662B">
        <w:rPr>
          <w:rFonts w:eastAsia="Times New Roman" w:cs="Times New Roman"/>
          <w:b/>
          <w:bCs/>
          <w:lang w:eastAsia="lt-LT"/>
        </w:rPr>
        <w:t>Veiklos tikslų įgyvendinimas</w:t>
      </w:r>
    </w:p>
    <w:p w:rsidR="0077662B" w:rsidRPr="0077662B" w:rsidRDefault="0077662B" w:rsidP="0077662B">
      <w:pPr>
        <w:tabs>
          <w:tab w:val="left" w:pos="993"/>
          <w:tab w:val="left" w:pos="4320"/>
        </w:tabs>
        <w:outlineLvl w:val="0"/>
        <w:rPr>
          <w:rFonts w:eastAsia="Times New Roman" w:cs="Times New Roman"/>
          <w:b/>
          <w:bCs/>
          <w:lang w:eastAsia="lt-LT"/>
        </w:rPr>
      </w:pPr>
      <w:r w:rsidRPr="0077662B">
        <w:rPr>
          <w:rFonts w:eastAsia="Times New Roman" w:cs="Times New Roman"/>
          <w:b/>
          <w:bCs/>
          <w:lang w:eastAsia="lt-LT"/>
        </w:rPr>
        <w:t>2016 metų veiklos plane buvo numatyti tikslai:</w:t>
      </w:r>
    </w:p>
    <w:p w:rsidR="0077662B" w:rsidRPr="0077662B" w:rsidRDefault="0077662B" w:rsidP="0077662B">
      <w:pPr>
        <w:tabs>
          <w:tab w:val="left" w:pos="993"/>
          <w:tab w:val="left" w:pos="4320"/>
        </w:tabs>
        <w:outlineLvl w:val="0"/>
        <w:rPr>
          <w:rFonts w:eastAsia="Times New Roman" w:cs="Times New Roman"/>
          <w:bCs/>
          <w:lang w:eastAsia="lt-LT"/>
        </w:rPr>
      </w:pPr>
      <w:r w:rsidRPr="0077662B">
        <w:rPr>
          <w:rFonts w:eastAsia="Times New Roman" w:cs="Times New Roman"/>
          <w:bCs/>
          <w:lang w:eastAsia="lt-LT"/>
        </w:rPr>
        <w:t>1.</w:t>
      </w:r>
      <w:r w:rsidRPr="0077662B">
        <w:rPr>
          <w:rFonts w:eastAsia="Times New Roman" w:cs="Times New Roman"/>
          <w:lang w:eastAsia="lt-LT"/>
        </w:rPr>
        <w:t xml:space="preserve"> </w:t>
      </w:r>
      <w:r w:rsidRPr="0077662B">
        <w:rPr>
          <w:rFonts w:eastAsia="Times New Roman" w:cs="Times New Roman"/>
          <w:color w:val="000000"/>
          <w:lang w:eastAsia="lt-LT"/>
        </w:rPr>
        <w:t>T</w:t>
      </w:r>
      <w:r w:rsidRPr="0077662B">
        <w:rPr>
          <w:rFonts w:eastAsia="Times New Roman" w:cs="Times New Roman"/>
          <w:lang w:eastAsia="lt-LT"/>
        </w:rPr>
        <w:t>obulinti ikimokyklinės, priešmokyklinės programų, planų, ugdomosios veiklos planavimą,  atsižvelgiant į vaiko gebėjimus ir pasiekimus.</w:t>
      </w:r>
    </w:p>
    <w:p w:rsidR="0077662B" w:rsidRPr="0077662B" w:rsidRDefault="0077662B" w:rsidP="0077662B">
      <w:pPr>
        <w:tabs>
          <w:tab w:val="left" w:pos="720"/>
        </w:tabs>
        <w:jc w:val="both"/>
        <w:outlineLvl w:val="5"/>
        <w:rPr>
          <w:bCs/>
        </w:rPr>
      </w:pPr>
      <w:r w:rsidRPr="0077662B">
        <w:rPr>
          <w:rFonts w:eastAsia="Times New Roman" w:cs="Times New Roman"/>
          <w:bCs/>
          <w:lang w:eastAsia="lt-LT"/>
        </w:rPr>
        <w:t xml:space="preserve">2. </w:t>
      </w:r>
      <w:r w:rsidRPr="0077662B">
        <w:rPr>
          <w:color w:val="000000"/>
        </w:rPr>
        <w:t>Taikyti</w:t>
      </w:r>
      <w:r w:rsidRPr="0077662B">
        <w:rPr>
          <w:bCs/>
        </w:rPr>
        <w:t xml:space="preserve"> į vaiką orientuoto ugdymo strategijas, įgyvendinant vaikų sveikatos stiprinimo programą ,,Noriu augti sveikas 2014-2018 m.“</w:t>
      </w:r>
    </w:p>
    <w:p w:rsidR="0077662B" w:rsidRPr="0077662B" w:rsidRDefault="0077662B" w:rsidP="0077662B">
      <w:pPr>
        <w:tabs>
          <w:tab w:val="center" w:pos="4986"/>
          <w:tab w:val="right" w:pos="9972"/>
        </w:tabs>
        <w:rPr>
          <w:b/>
          <w:color w:val="000000"/>
        </w:rPr>
      </w:pPr>
      <w:r w:rsidRPr="0077662B">
        <w:rPr>
          <w:rFonts w:eastAsia="Arial Unicode MS" w:cs="Times New Roman"/>
          <w:lang w:eastAsia="lt-LT"/>
        </w:rPr>
        <w:t xml:space="preserve">3. </w:t>
      </w:r>
      <w:r w:rsidRPr="0077662B">
        <w:t>Skatinti mokytojų kūrybiškumą, bendruomeniškumą,  iniciatyvumą vaikų ugdymo paslaugų  kokybės ir prieinamumo užtikrinimui.</w:t>
      </w:r>
    </w:p>
    <w:p w:rsidR="0077662B" w:rsidRPr="0077662B" w:rsidRDefault="0077662B" w:rsidP="0077662B">
      <w:pPr>
        <w:tabs>
          <w:tab w:val="left" w:pos="900"/>
          <w:tab w:val="center" w:pos="4986"/>
          <w:tab w:val="right" w:pos="8280"/>
          <w:tab w:val="right" w:pos="9972"/>
        </w:tabs>
        <w:jc w:val="both"/>
        <w:outlineLvl w:val="0"/>
        <w:rPr>
          <w:rFonts w:eastAsia="Times New Roman" w:cs="Times New Roman"/>
          <w:lang w:eastAsia="lt-LT"/>
        </w:rPr>
      </w:pPr>
      <w:r w:rsidRPr="0077662B">
        <w:rPr>
          <w:rFonts w:eastAsia="Times New Roman" w:cs="Times New Roman"/>
          <w:bCs/>
          <w:lang w:eastAsia="lt-LT"/>
        </w:rPr>
        <w:t xml:space="preserve">           Įgyvendinant pirmąjį tikslą,</w:t>
      </w:r>
      <w:r w:rsidRPr="0077662B">
        <w:rPr>
          <w:rFonts w:eastAsia="Times New Roman" w:cs="Times New Roman"/>
          <w:lang w:eastAsia="lt-LT"/>
        </w:rPr>
        <w:t xml:space="preserve"> Panevėžio lopšelio-darželio ,,Taika“ direktoriaus 2015-09-01 ir 2016-09-01 įsakymais Nr. VĮ-33 ,,Dėl ikimokyklinio ugdymo programos ,,Vaikystės spindulėliai“ patvirtinimo“, buvo atnaujinta mokyklos ugdymo programa ,,Vaikystės spindulėliai“, sudarytas ir  įgyvendinamas 2015-2016 m. m. priešmokyklinio ugdymo  planas. Su programų bendrosiomis nuostatomis, tikslais, uždaviniais, organizavimo galimybėmis buvo supažindinami tėvai, globėjai. Padedant vaikams pasirengti mokytis pagal pradinio ugdymo programą, į ugdomąjį procesą buvo integruojamos tarptautinės anglų kalbos pradmenų formavimo bei socialinių įgūdžių ugdymo ,,</w:t>
      </w:r>
      <w:proofErr w:type="spellStart"/>
      <w:r w:rsidRPr="0077662B">
        <w:rPr>
          <w:rFonts w:eastAsia="Times New Roman" w:cs="Times New Roman"/>
          <w:lang w:eastAsia="lt-LT"/>
        </w:rPr>
        <w:t>Zipio</w:t>
      </w:r>
      <w:proofErr w:type="spellEnd"/>
      <w:r w:rsidRPr="0077662B">
        <w:rPr>
          <w:rFonts w:eastAsia="Times New Roman" w:cs="Times New Roman"/>
          <w:lang w:eastAsia="lt-LT"/>
        </w:rPr>
        <w:t xml:space="preserve"> draugai“ programos, įgyvendinama vaikų sveikatos stiprinimo ir saugumo užtikrinimo programa „Noriu augti sveikas 2014-2018“. Įgyvendinant ugdymo turinį, atitinkantį priešmokyklinio amžiaus vaikų raidos bendruosius ir individualiuosius ypatumus, buvo ugdomi vaikų pasiekimai - kompetencijos. Siekiant kiekvieno vaiko individualių gebėjimų ugdymo, vaikų rengimo mokyklai optimalių sąlygų sudarymo,  buvo aptarti tėvelių lūkesčiai, mokytojų pastebėjimai ir vaikų gebėjimai bei galimybės lopšelio-darželio metodinės grupės pasitarimuose, mokyklos tarybos, mokytojų tarybos posėdžiuose.</w:t>
      </w:r>
    </w:p>
    <w:p w:rsidR="0077662B" w:rsidRPr="0077662B" w:rsidRDefault="0077662B" w:rsidP="0077662B">
      <w:pPr>
        <w:jc w:val="both"/>
        <w:rPr>
          <w:rFonts w:eastAsia="Times New Roman" w:cs="Times New Roman"/>
          <w:lang w:eastAsia="lt-LT"/>
        </w:rPr>
      </w:pPr>
      <w:r w:rsidRPr="0077662B">
        <w:rPr>
          <w:rFonts w:eastAsia="Arial Unicode MS" w:cs="Times New Roman"/>
          <w:lang w:eastAsia="lt-LT"/>
        </w:rPr>
        <w:t xml:space="preserve">            Įgyvendinant antrąjį tikslą </w:t>
      </w:r>
      <w:r w:rsidRPr="0077662B">
        <w:rPr>
          <w:bCs/>
        </w:rPr>
        <w:t xml:space="preserve">įgyvendinant vaikų sveikatos stiprinimo programą </w:t>
      </w:r>
      <w:r w:rsidRPr="0077662B">
        <w:rPr>
          <w:rFonts w:eastAsia="Times New Roman" w:cs="Times New Roman"/>
          <w:lang w:eastAsia="lt-LT"/>
        </w:rPr>
        <w:t>2016 m. lopšelis-darželis ,,Taika“ atsižvelgė į tolesnį mokyklos vaikų ugdymo strateginių tikslų įgyvendinimą – tai</w:t>
      </w:r>
      <w:r w:rsidRPr="0077662B">
        <w:rPr>
          <w:rFonts w:eastAsia="Times New Roman" w:cs="Times New Roman"/>
          <w:bCs/>
        </w:rPr>
        <w:t xml:space="preserve"> saugios  ir sveikos aplinkos kūrimas</w:t>
      </w:r>
      <w:r w:rsidRPr="0077662B">
        <w:rPr>
          <w:rFonts w:eastAsia="Times New Roman" w:cs="Times New Roman"/>
          <w:lang w:eastAsia="lt-LT"/>
        </w:rPr>
        <w:t xml:space="preserve">. Teritorija tinkamai prižiūrėta, 2016 metais naujai sutvarkytos lauko  pavėsinės, jos padengtos minkšta  danga, apsėtos žole, apdengtos smėlio dėžės. </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 xml:space="preserve">Panevėžio miesto savivaldybei skyrus lėšų, išasfaltuota darželio įvaža ir kiemo aikštelė, vaikų pasivaikščiojimo takai ir sporto aikštelė. Sutvarkyti lauko vandens nuotekų </w:t>
      </w:r>
      <w:proofErr w:type="spellStart"/>
      <w:r w:rsidRPr="0077662B">
        <w:rPr>
          <w:rFonts w:eastAsia="Times New Roman" w:cs="Times New Roman"/>
          <w:lang w:eastAsia="lt-LT"/>
        </w:rPr>
        <w:t>šulinėliai</w:t>
      </w:r>
      <w:proofErr w:type="spellEnd"/>
      <w:r w:rsidRPr="0077662B">
        <w:rPr>
          <w:rFonts w:eastAsia="Times New Roman" w:cs="Times New Roman"/>
          <w:lang w:eastAsia="lt-LT"/>
        </w:rPr>
        <w:t xml:space="preserve">, pakeičiant dangos plokštes bei išlyginant </w:t>
      </w:r>
      <w:proofErr w:type="spellStart"/>
      <w:r w:rsidRPr="0077662B">
        <w:rPr>
          <w:rFonts w:eastAsia="Times New Roman" w:cs="Times New Roman"/>
          <w:lang w:eastAsia="lt-LT"/>
        </w:rPr>
        <w:t>šulinėlių</w:t>
      </w:r>
      <w:proofErr w:type="spellEnd"/>
      <w:r w:rsidRPr="0077662B">
        <w:rPr>
          <w:rFonts w:eastAsia="Times New Roman" w:cs="Times New Roman"/>
          <w:lang w:eastAsia="lt-LT"/>
        </w:rPr>
        <w:t xml:space="preserve"> įdubas. Visos kitos patalpos atitinka higienos normas. Atnaujinti baldai visose darželio grupėse, įsigyta nauja patalynė dviem darželio grupėms. Grupėse įrengti langų ribotuvai, įsigyta papildomo sportinio inventoriaus mankštų ir estafečių organizavimui. Visos darželio grupės įsigijo naują sportinę aprangą. Vaikų saugumui lauke įrengti rakinami varteliai ir užtveriamasis buomas įvažiavimui į mokyklos kiemą. Dalyvaujant respublikiniame Lietuvos Žemės ūkio ministerijos projekte ,,Augink, rūpinkis, mylėk“, vyresniojo amžiaus vaikų grupei įsigytos  šviesą atspindinčios liemenės saugiam turizmo renginių organizavimui.</w:t>
      </w:r>
      <w:r w:rsidRPr="0077662B">
        <w:rPr>
          <w:rFonts w:eastAsia="Times New Roman" w:cs="Times New Roman"/>
          <w:b/>
          <w:bCs/>
        </w:rPr>
        <w:t xml:space="preserve"> </w:t>
      </w:r>
      <w:r w:rsidRPr="0077662B">
        <w:rPr>
          <w:rFonts w:eastAsia="Times New Roman" w:cs="Times New Roman"/>
          <w:bCs/>
        </w:rPr>
        <w:t xml:space="preserve">Gerinant sveikatinimo sąlygas vaikų ir specialiųjų poreikių vaikų ugdymui, įsigyta papildomai </w:t>
      </w:r>
      <w:r w:rsidRPr="0077662B">
        <w:rPr>
          <w:rFonts w:eastAsia="Times New Roman" w:cs="Times New Roman"/>
          <w:lang w:eastAsia="lt-LT"/>
        </w:rPr>
        <w:t xml:space="preserve">metodinių priemonių  vaikų kalbai ugdyti, </w:t>
      </w:r>
      <w:r w:rsidRPr="0077662B">
        <w:rPr>
          <w:rFonts w:eastAsia="Times New Roman" w:cs="Times New Roman"/>
          <w:color w:val="000000"/>
          <w:lang w:eastAsia="lt-LT"/>
        </w:rPr>
        <w:t>naujai suremontuotas ir įrengtas logopedo pratybų vaikams kabinetas.</w:t>
      </w:r>
    </w:p>
    <w:p w:rsidR="0077662B" w:rsidRPr="0077662B" w:rsidRDefault="0077662B" w:rsidP="0077662B">
      <w:pPr>
        <w:tabs>
          <w:tab w:val="center" w:pos="4986"/>
          <w:tab w:val="right" w:pos="9972"/>
        </w:tabs>
        <w:rPr>
          <w:rFonts w:eastAsia="Times New Roman" w:cs="Times New Roman"/>
          <w:lang w:eastAsia="lt-LT"/>
        </w:rPr>
      </w:pPr>
      <w:r w:rsidRPr="0077662B">
        <w:rPr>
          <w:rFonts w:eastAsia="Times New Roman" w:cs="Times New Roman"/>
          <w:lang w:eastAsia="lt-LT"/>
        </w:rPr>
        <w:lastRenderedPageBreak/>
        <w:t xml:space="preserve">              Įgyvendinant trečiąjį tikslą skatinti mokytojų kūrybiškumą, konkurencingumą,  iniciatyvumą vaikų ugdymo paslaugų kokybės ir prieinamumo užtikrinimui, buvo vykdomos ugdymo programos, plėtojama projektinė veikla, keliama darbuotojų kvalifikacija, kaupiama geroji darbo patirtis, organizuojama gerosios patirties sklaida. </w:t>
      </w:r>
    </w:p>
    <w:p w:rsidR="0077662B" w:rsidRPr="0077662B" w:rsidRDefault="0077662B" w:rsidP="0077662B">
      <w:pPr>
        <w:tabs>
          <w:tab w:val="center" w:pos="4986"/>
          <w:tab w:val="right" w:pos="9972"/>
        </w:tabs>
        <w:rPr>
          <w:rFonts w:eastAsia="Times New Roman" w:cs="Times New Roman"/>
          <w:bCs/>
          <w:color w:val="FF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3299"/>
        <w:gridCol w:w="3295"/>
      </w:tblGrid>
      <w:tr w:rsidR="0077662B" w:rsidRPr="0077662B" w:rsidTr="00CC772F">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Sritys</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 xml:space="preserve">Seminarų skaičius </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Valandų skaičius</w:t>
            </w:r>
          </w:p>
        </w:tc>
      </w:tr>
      <w:tr w:rsidR="0077662B" w:rsidRPr="0077662B" w:rsidTr="00CC772F">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Ugdymo plėtotė ir naujienos</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20</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120</w:t>
            </w:r>
          </w:p>
        </w:tc>
      </w:tr>
      <w:tr w:rsidR="0077662B" w:rsidRPr="0077662B" w:rsidTr="00CC772F">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Vaikų sveikatos stiprinimas</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17</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108</w:t>
            </w:r>
          </w:p>
        </w:tc>
      </w:tr>
      <w:tr w:rsidR="0077662B" w:rsidRPr="0077662B" w:rsidTr="00CC772F">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Vadybiniai gebėjimai</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4</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28</w:t>
            </w:r>
          </w:p>
        </w:tc>
      </w:tr>
      <w:tr w:rsidR="0077662B" w:rsidRPr="0077662B" w:rsidTr="00CC772F">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Pedagoginė patirtis</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24</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124</w:t>
            </w:r>
          </w:p>
        </w:tc>
      </w:tr>
      <w:tr w:rsidR="0077662B" w:rsidRPr="0077662B" w:rsidTr="00CC772F">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Aplinkosauga</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9</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54</w:t>
            </w:r>
          </w:p>
        </w:tc>
      </w:tr>
      <w:tr w:rsidR="0077662B" w:rsidRPr="0077662B" w:rsidTr="00CC772F">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IKT (</w:t>
            </w:r>
            <w:proofErr w:type="spellStart"/>
            <w:r w:rsidRPr="0077662B">
              <w:rPr>
                <w:rFonts w:eastAsia="Times New Roman" w:cs="Times New Roman"/>
                <w:sz w:val="22"/>
                <w:szCs w:val="22"/>
                <w:lang w:eastAsia="lt-LT"/>
              </w:rPr>
              <w:t>inf.komp</w:t>
            </w:r>
            <w:proofErr w:type="spellEnd"/>
            <w:r w:rsidRPr="0077662B">
              <w:rPr>
                <w:rFonts w:eastAsia="Times New Roman" w:cs="Times New Roman"/>
                <w:sz w:val="22"/>
                <w:szCs w:val="22"/>
                <w:lang w:eastAsia="lt-LT"/>
              </w:rPr>
              <w:t>. technologijos)</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9</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54</w:t>
            </w:r>
          </w:p>
        </w:tc>
      </w:tr>
      <w:tr w:rsidR="0077662B" w:rsidRPr="0077662B" w:rsidTr="00CC772F">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Meninis ugdymas</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18</w:t>
            </w:r>
          </w:p>
        </w:tc>
        <w:tc>
          <w:tcPr>
            <w:tcW w:w="3396" w:type="dxa"/>
            <w:shd w:val="clear" w:color="auto" w:fill="auto"/>
          </w:tcPr>
          <w:p w:rsidR="0077662B" w:rsidRPr="0077662B" w:rsidRDefault="0077662B" w:rsidP="0077662B">
            <w:pPr>
              <w:rPr>
                <w:rFonts w:eastAsia="Times New Roman" w:cs="Times New Roman"/>
                <w:sz w:val="22"/>
                <w:szCs w:val="22"/>
                <w:lang w:eastAsia="lt-LT"/>
              </w:rPr>
            </w:pPr>
            <w:r w:rsidRPr="0077662B">
              <w:rPr>
                <w:rFonts w:eastAsia="Times New Roman" w:cs="Times New Roman"/>
                <w:sz w:val="22"/>
                <w:szCs w:val="22"/>
                <w:lang w:eastAsia="lt-LT"/>
              </w:rPr>
              <w:t>108</w:t>
            </w:r>
          </w:p>
        </w:tc>
      </w:tr>
      <w:tr w:rsidR="0077662B" w:rsidRPr="0077662B" w:rsidTr="00CC772F">
        <w:tc>
          <w:tcPr>
            <w:tcW w:w="3396" w:type="dxa"/>
            <w:shd w:val="clear" w:color="auto" w:fill="auto"/>
          </w:tcPr>
          <w:p w:rsidR="0077662B" w:rsidRPr="0077662B" w:rsidRDefault="0077662B" w:rsidP="0077662B">
            <w:pPr>
              <w:rPr>
                <w:rFonts w:eastAsia="Times New Roman" w:cs="Times New Roman"/>
                <w:b/>
                <w:sz w:val="22"/>
                <w:szCs w:val="22"/>
                <w:lang w:eastAsia="lt-LT"/>
              </w:rPr>
            </w:pPr>
            <w:r w:rsidRPr="0077662B">
              <w:rPr>
                <w:rFonts w:eastAsia="Times New Roman" w:cs="Times New Roman"/>
                <w:b/>
                <w:sz w:val="22"/>
                <w:szCs w:val="22"/>
                <w:lang w:eastAsia="lt-LT"/>
              </w:rPr>
              <w:t>Viso</w:t>
            </w:r>
          </w:p>
        </w:tc>
        <w:tc>
          <w:tcPr>
            <w:tcW w:w="3396" w:type="dxa"/>
            <w:shd w:val="clear" w:color="auto" w:fill="auto"/>
          </w:tcPr>
          <w:p w:rsidR="0077662B" w:rsidRPr="0077662B" w:rsidRDefault="0077662B" w:rsidP="0077662B">
            <w:pPr>
              <w:rPr>
                <w:rFonts w:eastAsia="Times New Roman" w:cs="Times New Roman"/>
                <w:b/>
                <w:sz w:val="22"/>
                <w:szCs w:val="22"/>
                <w:lang w:eastAsia="lt-LT"/>
              </w:rPr>
            </w:pPr>
            <w:r w:rsidRPr="0077662B">
              <w:rPr>
                <w:rFonts w:eastAsia="Times New Roman" w:cs="Times New Roman"/>
                <w:b/>
                <w:sz w:val="22"/>
                <w:szCs w:val="22"/>
                <w:lang w:eastAsia="lt-LT"/>
              </w:rPr>
              <w:t>99</w:t>
            </w:r>
          </w:p>
        </w:tc>
        <w:tc>
          <w:tcPr>
            <w:tcW w:w="3396" w:type="dxa"/>
            <w:shd w:val="clear" w:color="auto" w:fill="auto"/>
          </w:tcPr>
          <w:p w:rsidR="0077662B" w:rsidRPr="0077662B" w:rsidRDefault="0077662B" w:rsidP="0077662B">
            <w:pPr>
              <w:rPr>
                <w:rFonts w:eastAsia="Times New Roman" w:cs="Times New Roman"/>
                <w:b/>
                <w:sz w:val="22"/>
                <w:szCs w:val="22"/>
                <w:lang w:eastAsia="lt-LT"/>
              </w:rPr>
            </w:pPr>
            <w:r w:rsidRPr="0077662B">
              <w:rPr>
                <w:rFonts w:eastAsia="Times New Roman" w:cs="Times New Roman"/>
                <w:b/>
                <w:sz w:val="22"/>
                <w:szCs w:val="22"/>
                <w:lang w:eastAsia="lt-LT"/>
              </w:rPr>
              <w:t>596</w:t>
            </w:r>
          </w:p>
        </w:tc>
      </w:tr>
    </w:tbl>
    <w:p w:rsidR="0077662B" w:rsidRPr="0077662B" w:rsidRDefault="0077662B" w:rsidP="0077662B">
      <w:pPr>
        <w:jc w:val="center"/>
        <w:rPr>
          <w:rFonts w:eastAsia="Times New Roman" w:cs="Times New Roman"/>
          <w:b/>
          <w:color w:val="000000"/>
          <w:lang w:eastAsia="lt-LT"/>
        </w:rPr>
      </w:pPr>
    </w:p>
    <w:p w:rsidR="0077662B" w:rsidRPr="0077662B" w:rsidRDefault="0077662B" w:rsidP="0077662B">
      <w:pPr>
        <w:jc w:val="center"/>
        <w:rPr>
          <w:rFonts w:eastAsia="Times New Roman" w:cs="Times New Roman"/>
          <w:b/>
          <w:color w:val="000000"/>
          <w:lang w:eastAsia="lt-LT"/>
        </w:rPr>
      </w:pPr>
      <w:r w:rsidRPr="0077662B">
        <w:rPr>
          <w:rFonts w:eastAsia="Times New Roman" w:cs="Times New Roman"/>
          <w:b/>
          <w:color w:val="000000"/>
          <w:lang w:eastAsia="lt-LT"/>
        </w:rPr>
        <w:t>MOKYTOJŲ LANKYTI KVALIFIKACINIAI RENGINIAI 2016 M.</w:t>
      </w:r>
    </w:p>
    <w:p w:rsidR="0077662B" w:rsidRPr="0077662B" w:rsidRDefault="0077662B" w:rsidP="0077662B">
      <w:pPr>
        <w:rPr>
          <w:rFonts w:eastAsia="Times New Roman" w:cs="Times New Roman"/>
          <w:color w:val="000000"/>
          <w:lang w:eastAsia="lt-LT"/>
        </w:rPr>
      </w:pPr>
      <w:r w:rsidRPr="0077662B">
        <w:rPr>
          <w:rFonts w:eastAsia="Times New Roman" w:cs="Times New Roman"/>
          <w:noProof/>
          <w:color w:val="000000"/>
          <w:lang w:eastAsia="lt-LT"/>
        </w:rPr>
        <w:drawing>
          <wp:inline distT="0" distB="0" distL="0" distR="0" wp14:anchorId="5C916F9F" wp14:editId="5274197A">
            <wp:extent cx="6134100" cy="1552575"/>
            <wp:effectExtent l="0" t="0" r="0" b="9525"/>
            <wp:docPr id="2" name="Diagrama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662B" w:rsidRPr="0077662B" w:rsidRDefault="0077662B" w:rsidP="0077662B">
      <w:pPr>
        <w:jc w:val="right"/>
        <w:rPr>
          <w:rFonts w:eastAsia="Times New Roman" w:cs="Times New Roman"/>
          <w:bCs/>
          <w:lang w:eastAsia="lt-LT"/>
        </w:rPr>
      </w:pPr>
      <w:r w:rsidRPr="0077662B">
        <w:rPr>
          <w:rFonts w:eastAsia="Times New Roman" w:cs="Times New Roman"/>
          <w:color w:val="000000"/>
          <w:lang w:eastAsia="lt-LT"/>
        </w:rPr>
        <w:t xml:space="preserve">   7</w:t>
      </w:r>
      <w:r w:rsidRPr="0077662B">
        <w:rPr>
          <w:rFonts w:eastAsia="Times New Roman" w:cs="Times New Roman"/>
          <w:bCs/>
          <w:lang w:eastAsia="lt-LT"/>
        </w:rPr>
        <w:t xml:space="preserve"> diagrama.</w:t>
      </w:r>
    </w:p>
    <w:p w:rsidR="0077662B" w:rsidRPr="0077662B" w:rsidRDefault="0077662B" w:rsidP="0077662B">
      <w:pPr>
        <w:jc w:val="right"/>
        <w:rPr>
          <w:rFonts w:eastAsia="Times New Roman" w:cs="Times New Roman"/>
          <w:color w:val="000000"/>
          <w:lang w:eastAsia="lt-LT"/>
        </w:rPr>
      </w:pPr>
    </w:p>
    <w:p w:rsidR="0077662B" w:rsidRPr="0077662B" w:rsidRDefault="0077662B" w:rsidP="0077662B">
      <w:pPr>
        <w:tabs>
          <w:tab w:val="left" w:pos="900"/>
          <w:tab w:val="center" w:pos="4986"/>
          <w:tab w:val="right" w:pos="8280"/>
          <w:tab w:val="right" w:pos="9972"/>
        </w:tabs>
        <w:jc w:val="both"/>
        <w:outlineLvl w:val="0"/>
        <w:rPr>
          <w:rFonts w:eastAsia="Times New Roman" w:cs="Times New Roman"/>
          <w:lang w:eastAsia="lt-LT"/>
        </w:rPr>
      </w:pPr>
      <w:r w:rsidRPr="0077662B">
        <w:rPr>
          <w:rFonts w:eastAsia="Times New Roman" w:cs="Times New Roman"/>
          <w:color w:val="000000"/>
          <w:lang w:eastAsia="lt-LT"/>
        </w:rPr>
        <w:tab/>
      </w:r>
      <w:r w:rsidRPr="0077662B">
        <w:rPr>
          <w:rFonts w:eastAsia="Times New Roman" w:cs="Times New Roman"/>
          <w:lang w:eastAsia="lt-LT"/>
        </w:rPr>
        <w:t>2016 m. mokytojai kvalifikacinius renginius pasirinko pagal keliamus strateginius vaikų ugdymo (si) tikslus: ugdymo plėtotė ir naujienos - 20, vaikų sveikatos stiprinimas - 17, vadybiniai gebėjimai - 4, pedagoginė patirtis – 24, meninis ugdymas - 18 , IKT-9, aplinkosauga - 9. Viso 596 valandos. 7 diagrama.</w:t>
      </w:r>
    </w:p>
    <w:p w:rsidR="0077662B" w:rsidRPr="0077662B" w:rsidRDefault="0077662B" w:rsidP="0077662B">
      <w:pPr>
        <w:tabs>
          <w:tab w:val="left" w:pos="900"/>
          <w:tab w:val="center" w:pos="4986"/>
          <w:tab w:val="right" w:pos="8280"/>
          <w:tab w:val="right" w:pos="9972"/>
        </w:tabs>
        <w:jc w:val="both"/>
        <w:outlineLvl w:val="0"/>
        <w:rPr>
          <w:rFonts w:eastAsia="Times New Roman" w:cs="Times New Roman"/>
          <w:bCs/>
        </w:rPr>
      </w:pPr>
      <w:r w:rsidRPr="0077662B">
        <w:rPr>
          <w:rFonts w:eastAsia="Times New Roman" w:cs="Times New Roman"/>
          <w:lang w:eastAsia="lt-LT"/>
        </w:rPr>
        <w:t xml:space="preserve">2016 m. </w:t>
      </w:r>
      <w:r w:rsidRPr="0077662B">
        <w:rPr>
          <w:rFonts w:ascii="TimesNewRomanPSMT" w:eastAsia="Times New Roman" w:hAnsi="TimesNewRomanPSMT" w:cs="TimesNewRomanPSMT"/>
          <w:lang w:eastAsia="lt-LT"/>
        </w:rPr>
        <w:t xml:space="preserve">vienam mokytojui  vidutiniškai tenka 5,5 kvalifikaciniai seminarai, vidutiniškai 33 val. </w:t>
      </w:r>
    </w:p>
    <w:p w:rsidR="0077662B" w:rsidRPr="0077662B" w:rsidRDefault="0077662B" w:rsidP="0077662B">
      <w:pPr>
        <w:jc w:val="both"/>
        <w:rPr>
          <w:rFonts w:eastAsia="Times New Roman" w:cs="Times New Roman"/>
          <w:color w:val="000000"/>
          <w:lang w:eastAsia="lt-LT"/>
        </w:rPr>
      </w:pPr>
      <w:r w:rsidRPr="0077662B">
        <w:rPr>
          <w:rFonts w:eastAsia="Times New Roman" w:cs="Times New Roman"/>
          <w:color w:val="000000"/>
          <w:lang w:eastAsia="lt-LT"/>
        </w:rPr>
        <w:t>2016 m. toliau buvo plėtojama projektinė veikla, mokytojai rodė iniciatyvą dalyvaujant tarptautiniuose, respublikiniuose, miesto ir lopšelio-darželio projektuose. Tėvų pageidavimu, 2016 m. įstaigoje buvo organizuojamas  anglų kalbos pradmenų formavimo papildomas vaikų ugdymas, keramikos užsiėmimai bei metų pabaigoje pradėti organizuoti šachmatų būrelio užsiėmimai.</w:t>
      </w:r>
      <w:r w:rsidRPr="0077662B">
        <w:rPr>
          <w:rFonts w:eastAsia="Times New Roman" w:cs="Times New Roman"/>
          <w:color w:val="000000"/>
          <w:lang w:eastAsia="lt-LT"/>
        </w:rPr>
        <w:tab/>
        <w:t xml:space="preserve"> </w:t>
      </w:r>
    </w:p>
    <w:p w:rsidR="0077662B" w:rsidRPr="0077662B" w:rsidRDefault="0077662B" w:rsidP="0077662B">
      <w:pPr>
        <w:jc w:val="both"/>
        <w:rPr>
          <w:rFonts w:eastAsia="Times New Roman" w:cs="Times New Roman"/>
          <w:lang w:eastAsia="lt-LT"/>
        </w:rPr>
      </w:pPr>
      <w:r w:rsidRPr="0077662B">
        <w:rPr>
          <w:rFonts w:eastAsia="Times New Roman" w:cs="Times New Roman"/>
          <w:color w:val="000000"/>
          <w:lang w:eastAsia="lt-LT"/>
        </w:rPr>
        <w:tab/>
        <w:t xml:space="preserve">2016 m. mokytojai su vaikais aktyviai domėjosi ir  dalyvavo 2 tarptautiniuose  projektuose. Vaikai dalyvavo tarptautiniame </w:t>
      </w:r>
      <w:proofErr w:type="spellStart"/>
      <w:r w:rsidRPr="0077662B">
        <w:rPr>
          <w:rFonts w:eastAsia="Times New Roman" w:cs="Times New Roman"/>
          <w:color w:val="000000"/>
          <w:lang w:eastAsia="lt-LT"/>
        </w:rPr>
        <w:t>kartografų</w:t>
      </w:r>
      <w:proofErr w:type="spellEnd"/>
      <w:r w:rsidRPr="0077662B">
        <w:rPr>
          <w:rFonts w:eastAsia="Times New Roman" w:cs="Times New Roman"/>
          <w:color w:val="000000"/>
          <w:lang w:eastAsia="lt-LT"/>
        </w:rPr>
        <w:t xml:space="preserve"> draugijos  ir Lietuvos </w:t>
      </w:r>
      <w:proofErr w:type="spellStart"/>
      <w:r w:rsidRPr="0077662B">
        <w:rPr>
          <w:rFonts w:eastAsia="Times New Roman" w:cs="Times New Roman"/>
          <w:color w:val="000000"/>
          <w:lang w:eastAsia="lt-LT"/>
        </w:rPr>
        <w:t>kartografų</w:t>
      </w:r>
      <w:proofErr w:type="spellEnd"/>
      <w:r w:rsidRPr="0077662B">
        <w:rPr>
          <w:rFonts w:eastAsia="Times New Roman" w:cs="Times New Roman"/>
          <w:color w:val="000000"/>
          <w:lang w:eastAsia="lt-LT"/>
        </w:rPr>
        <w:t xml:space="preserve"> draugijos projekte – konkurse ,,Mano Lietuva“, vyko tarptautinės socialinių įgūdžių formavimo programos ,,</w:t>
      </w:r>
      <w:proofErr w:type="spellStart"/>
      <w:r w:rsidRPr="0077662B">
        <w:rPr>
          <w:rFonts w:eastAsia="Times New Roman" w:cs="Times New Roman"/>
          <w:color w:val="000000"/>
          <w:lang w:eastAsia="lt-LT"/>
        </w:rPr>
        <w:t>Zipio</w:t>
      </w:r>
      <w:proofErr w:type="spellEnd"/>
      <w:r w:rsidRPr="0077662B">
        <w:rPr>
          <w:rFonts w:eastAsia="Times New Roman" w:cs="Times New Roman"/>
          <w:color w:val="000000"/>
          <w:lang w:eastAsia="lt-LT"/>
        </w:rPr>
        <w:t xml:space="preserve"> draugai“ valandėlės vaikams. 2016 m. mokytojai su vaikais dalyvavo 16 respublikinių projektų. Tai  Naisių projektai   </w:t>
      </w:r>
      <w:r w:rsidRPr="0077662B">
        <w:rPr>
          <w:rFonts w:eastAsia="Times New Roman" w:cs="Times New Roman"/>
          <w:lang w:eastAsia="lt-LT"/>
        </w:rPr>
        <w:t xml:space="preserve">,,Gandrus pasitinkant 2016“, ,,Vaikų </w:t>
      </w:r>
      <w:proofErr w:type="spellStart"/>
      <w:r w:rsidRPr="0077662B">
        <w:rPr>
          <w:rFonts w:eastAsia="Times New Roman" w:cs="Times New Roman"/>
          <w:lang w:eastAsia="lt-LT"/>
        </w:rPr>
        <w:t>Velykėlės</w:t>
      </w:r>
      <w:proofErr w:type="spellEnd"/>
      <w:r w:rsidRPr="0077662B">
        <w:rPr>
          <w:rFonts w:eastAsia="Times New Roman" w:cs="Times New Roman"/>
          <w:lang w:eastAsia="lt-LT"/>
        </w:rPr>
        <w:t xml:space="preserve"> 2016“, socialinis projektas ,,Šypsenų banga“, ekologiniai projektai ,,Apkabinkime žemę 2016“,  ,,Mano žalioji palangė“, ,,Mes rūšiuojam 2016“, ,,Lietuvos paukščiai 2016“, respublikinis ekologinis  projektas ,,Nacionalinė miško sodinimo šventė 2016“, Lietuvos žemės ūkio ministerijos programa ,,Augink, rūpinkis, mylėk“, ,,Aš auginu“, socialinis projektas taikai ir vienybei žemėje ,,Apkabinkime žemę gerais darbais“, akcija ,,Taikos glėbys“.</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Lopšelio-darželio ,,Taika“ ugdytiniai aktyviai dalyvavo miesto projektuose ir renginiuose. Didelio tėvų susidomėjimo ir vaikų aktyvumo sulaukė Panevėžio miesto  organizuotas meninis  projektas ,,Kalėdinių žaisliukų alėja“ ir ,,Kalėdinis stebuklas miestui“, visų mėgstamas ikimokyklinių įstaigų floristinių kilimų Laisvės aikštėje pleneras ,,Rudens spalvos 2016“, gamtos mokyklos projektai ,,Rudens kraitelė 2016“, paukščių globos akcija ,,Už vieną trupinėlį čiulbėsiu visą vasarėlę“. Dalyvavome Panevėžio mieste organizuotoje akcijoje ,,Velykinių medžių alėja 2016“, ,,</w:t>
      </w:r>
      <w:proofErr w:type="spellStart"/>
      <w:r w:rsidRPr="0077662B">
        <w:rPr>
          <w:rFonts w:eastAsia="Times New Roman" w:cs="Times New Roman"/>
          <w:lang w:eastAsia="lt-LT"/>
        </w:rPr>
        <w:t>Cido</w:t>
      </w:r>
      <w:proofErr w:type="spellEnd"/>
      <w:r w:rsidRPr="0077662B">
        <w:rPr>
          <w:rFonts w:eastAsia="Times New Roman" w:cs="Times New Roman"/>
          <w:lang w:eastAsia="lt-LT"/>
        </w:rPr>
        <w:t xml:space="preserve">“ arenoje organizuotoje akcijoje ,,Kartu prieš priklausomybes“, Visuomenės sveikatos biuro organizuotame projekte ,,Spalis-sveikatos stiprinimo mėnuo Panevėžyje“. Dalyvavome miesto socialinių partnerių organizuotuose konkursuose: EMSI degalinės organizuotuose konkursuose ,,Atvirukas mamai“ ir ,,Žiema gimtinėje“, ikimokyklinių įstaigų projektuose ,,Sodų žydėjimo metas“, ,,Sniego senis“, ,,Rudenėlis – kaip gražu“, M. Karkos pagrindinės mokyklos organizuotame konkurse ,,Jaunieji talentai“. </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lastRenderedPageBreak/>
        <w:tab/>
        <w:t>2016 m. buvo vykdomi pilietiniai projektai, kuriuose dalyvavo visa lopšelio-darželio bendruomenė: tai tarptautinis meninis projektas ,,Raktelis mamai“, respublikinis projektas - pilietinė akcija ,,Atmintis gyva, nes liudija“, respublikinė pilietinė akcija ,,Gyvasis tautos žiedas“,“, Europos judėjimo savaitės renginys ,,Bėgimas kartu 2016“, kuriuose aktyviai dalyvavo ne tik vaikai ir mokytojai, bet ir tėveliai. Mokykloje  buvo organizuojamas 21-mus metus iš eilės tradicinis menų projektas ,,Menų dienos“, skirtos lopšelio-darželio 35-mečiui. Koncertavome Žemės dienos vėliavos kėlimo renginyje prie miesto savivaldybės, NATO vėliavos kėlimo šventėje prie miesto savivaldybės, vaikystės šventės renginiuose ,,Vaikystės sūpuoklės“. Lopšelio-darželio bendruomenė aktyviai dalyvavo Aukštaitijos sostinės Panevėžio miesto 509-ojo gimtadienio šventinėje eisenoje</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ab/>
        <w:t>Panevėžio lopšelio-darželio ugdytiniai dalyvavo respublikiniuose konkursuose ,,Gyvulininkystė ir aš“, ,,Sukurk Kalėdinį atviruką“, ,,Drugeliai tarp žiedų“, seimo nario D. Petrulio inicijuotame projekte ,,Pasveikink vienišą senelį“.</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ab/>
        <w:t xml:space="preserve">Mokytojos aktyviai bendradarbiavo vaikų sveikatinimo ir fizinio aktyvumo srityje su socialiniais partneriais. Dalyvavome Panevėžio miesto savivaldybės visuomenės sveikatos biuro inicijuotose piešinių konkursuose ,,Mano sportuojanti šeima“, ,,Aš sveikuolis, nes mėgstu valgyti“, ikimokyklinių įstaigų organizuotame konkurse ,,Valgau tai, kas sveika“. Dalyvavome miesto Kūno kultūros ir sporto centro organizuotose estafečių varžybose ,,Olimpinės viltys“, orientacinėse varžybose miesto parke ,,Mokausi orientuotis“. Lopšelyje-darželyje ,,Taika“ buvo organizuotas bendruomenės futbolo varžybos ,,Sportuok ir būsi sveikas“, kartu su mikrorajono Alfonso </w:t>
      </w:r>
      <w:proofErr w:type="spellStart"/>
      <w:r w:rsidRPr="0077662B">
        <w:rPr>
          <w:rFonts w:eastAsia="Times New Roman" w:cs="Times New Roman"/>
          <w:lang w:eastAsia="lt-LT"/>
        </w:rPr>
        <w:t>Lipniūno</w:t>
      </w:r>
      <w:proofErr w:type="spellEnd"/>
      <w:r w:rsidRPr="0077662B">
        <w:rPr>
          <w:rFonts w:eastAsia="Times New Roman" w:cs="Times New Roman"/>
          <w:lang w:eastAsia="lt-LT"/>
        </w:rPr>
        <w:t xml:space="preserve">, Mykolo Karkos mokyklomis organizavome Europos judėjimo savaitės renginį ,,Visuotinis bėgimas 2016“, </w:t>
      </w:r>
      <w:proofErr w:type="spellStart"/>
      <w:r w:rsidRPr="0077662B">
        <w:rPr>
          <w:rFonts w:eastAsia="Times New Roman" w:cs="Times New Roman"/>
          <w:lang w:eastAsia="lt-LT"/>
        </w:rPr>
        <w:t>užsiėmimus</w:t>
      </w:r>
      <w:proofErr w:type="spellEnd"/>
      <w:r w:rsidRPr="0077662B">
        <w:rPr>
          <w:rFonts w:eastAsia="Times New Roman" w:cs="Times New Roman"/>
          <w:lang w:eastAsia="lt-LT"/>
        </w:rPr>
        <w:t xml:space="preserve"> su visa bendruomene ,,Visuotinė mankšta“. Mokytojai aktyviai dalyvavo respublikinės sveikatą stiprinančių mokyklų tinklo ,,Sveika mokykla“ renginiuose ir projektuose. Tai Sveikatą stiprinančių mokyklų tinklo vaikų piešinių ir atvirukų konkurse ,,</w:t>
      </w:r>
      <w:proofErr w:type="spellStart"/>
      <w:r w:rsidRPr="0077662B">
        <w:rPr>
          <w:rFonts w:eastAsia="Times New Roman" w:cs="Times New Roman"/>
          <w:lang w:eastAsia="lt-LT"/>
        </w:rPr>
        <w:t>Sveikadienis</w:t>
      </w:r>
      <w:proofErr w:type="spellEnd"/>
      <w:r w:rsidRPr="0077662B">
        <w:rPr>
          <w:rFonts w:eastAsia="Times New Roman" w:cs="Times New Roman"/>
          <w:lang w:eastAsia="lt-LT"/>
        </w:rPr>
        <w:t>“, ,,</w:t>
      </w:r>
      <w:proofErr w:type="spellStart"/>
      <w:r w:rsidRPr="0077662B">
        <w:rPr>
          <w:rFonts w:eastAsia="Times New Roman" w:cs="Times New Roman"/>
          <w:lang w:eastAsia="lt-LT"/>
        </w:rPr>
        <w:t>Sveikatingiausia</w:t>
      </w:r>
      <w:proofErr w:type="spellEnd"/>
      <w:r w:rsidRPr="0077662B">
        <w:rPr>
          <w:rFonts w:eastAsia="Times New Roman" w:cs="Times New Roman"/>
          <w:lang w:eastAsia="lt-LT"/>
        </w:rPr>
        <w:t xml:space="preserve"> šeima“. Apie vykdomą sveikatinimo veiklą mokytojai pasidalino gerąja darbo patirtimi interneto portaluose </w:t>
      </w:r>
      <w:hyperlink r:id="rId16" w:history="1">
        <w:r w:rsidRPr="0077662B">
          <w:rPr>
            <w:rFonts w:eastAsia="Times New Roman" w:cs="Times New Roman"/>
            <w:color w:val="0000FF"/>
            <w:u w:val="single"/>
            <w:lang w:eastAsia="lt-LT"/>
          </w:rPr>
          <w:t>www.ikimokyklinis.lt</w:t>
        </w:r>
      </w:hyperlink>
      <w:r w:rsidRPr="0077662B">
        <w:rPr>
          <w:rFonts w:eastAsia="Times New Roman" w:cs="Times New Roman"/>
          <w:lang w:eastAsia="lt-LT"/>
        </w:rPr>
        <w:t xml:space="preserve">, </w:t>
      </w:r>
      <w:hyperlink r:id="rId17" w:history="1">
        <w:r w:rsidRPr="0077662B">
          <w:rPr>
            <w:rFonts w:eastAsia="Times New Roman" w:cs="Times New Roman"/>
            <w:color w:val="0000FF"/>
            <w:u w:val="single"/>
            <w:lang w:eastAsia="lt-LT"/>
          </w:rPr>
          <w:t>www.szelmeneliai.lt</w:t>
        </w:r>
      </w:hyperlink>
      <w:r w:rsidRPr="0077662B">
        <w:rPr>
          <w:rFonts w:eastAsia="Times New Roman" w:cs="Times New Roman"/>
          <w:lang w:eastAsia="lt-LT"/>
        </w:rPr>
        <w:t>, www.smlpc.lt .</w:t>
      </w:r>
    </w:p>
    <w:p w:rsidR="0077662B" w:rsidRPr="0077662B" w:rsidRDefault="0077662B" w:rsidP="0077662B">
      <w:pPr>
        <w:ind w:firstLine="360"/>
        <w:jc w:val="both"/>
        <w:rPr>
          <w:rFonts w:eastAsia="Times New Roman" w:cs="Times New Roman"/>
          <w:lang w:eastAsia="lt-LT"/>
        </w:rPr>
      </w:pPr>
      <w:r w:rsidRPr="0077662B">
        <w:rPr>
          <w:rFonts w:eastAsia="Times New Roman" w:cs="Times New Roman"/>
          <w:lang w:eastAsia="lt-LT"/>
        </w:rPr>
        <w:tab/>
        <w:t xml:space="preserve">2016 m. mokytojai aktyviai bendravo su socialiniais partneriais, mikrorajonų ir kitų mokyklų mokytojais, kurie ugdo lopšelio-darželio ,,Taika“ vaikus pradinėse klasėse, dalyvavo </w:t>
      </w:r>
      <w:proofErr w:type="spellStart"/>
      <w:r w:rsidRPr="0077662B">
        <w:rPr>
          <w:rFonts w:eastAsia="Times New Roman" w:cs="Times New Roman"/>
          <w:lang w:eastAsia="lt-LT"/>
        </w:rPr>
        <w:t>Alf</w:t>
      </w:r>
      <w:proofErr w:type="spellEnd"/>
      <w:r w:rsidRPr="0077662B">
        <w:rPr>
          <w:rFonts w:eastAsia="Times New Roman" w:cs="Times New Roman"/>
          <w:lang w:eastAsia="lt-LT"/>
        </w:rPr>
        <w:t xml:space="preserve">. </w:t>
      </w:r>
      <w:proofErr w:type="spellStart"/>
      <w:r w:rsidRPr="0077662B">
        <w:rPr>
          <w:rFonts w:eastAsia="Times New Roman" w:cs="Times New Roman"/>
          <w:lang w:eastAsia="lt-LT"/>
        </w:rPr>
        <w:t>Lipniūno</w:t>
      </w:r>
      <w:proofErr w:type="spellEnd"/>
      <w:r w:rsidRPr="0077662B">
        <w:rPr>
          <w:rFonts w:eastAsia="Times New Roman" w:cs="Times New Roman"/>
          <w:lang w:eastAsia="lt-LT"/>
        </w:rPr>
        <w:t xml:space="preserve"> progimnazijos, M. Karkos pagrindinės mokyklos susitikimuose su pradinių klasių mokytojomis, mokiniais, dalyvavo jų rengiamuose meniniuose renginiuose, sportinėse varžybose. Priešmokyklinio ugdymo pedagogai pristatė 2015-2016 m. m. priešmokyklinio ugdymo bendrąją programą lopšelio-darželio ,,Taika“ priešmokyklinių grupių tėveliams, mikrorajono pradinių klasių mokytojams. Siekiant sveikatos žinių plėtojimo, visiems įstaigos darbuotojams pagal parengtą veiklos planą, buvo vykdomi pirmos medicinos pagalbos, higienos sveikatos mokymo, darbų saugos ir civilinės saugos mokymai.</w:t>
      </w:r>
    </w:p>
    <w:p w:rsidR="0077662B" w:rsidRPr="0077662B" w:rsidRDefault="0077662B" w:rsidP="0077662B">
      <w:pPr>
        <w:jc w:val="both"/>
        <w:rPr>
          <w:rFonts w:eastAsia="Times New Roman" w:cs="Times New Roman"/>
          <w:color w:val="000000"/>
          <w:lang w:eastAsia="lt-LT"/>
        </w:rPr>
      </w:pPr>
    </w:p>
    <w:p w:rsidR="0077662B" w:rsidRPr="0077662B" w:rsidRDefault="0077662B" w:rsidP="0077662B">
      <w:pPr>
        <w:spacing w:after="120"/>
        <w:jc w:val="center"/>
        <w:rPr>
          <w:rFonts w:eastAsia="Times New Roman" w:cs="Times New Roman"/>
          <w:b/>
          <w:bCs/>
          <w:lang w:eastAsia="lt-LT"/>
        </w:rPr>
      </w:pPr>
      <w:r w:rsidRPr="0077662B">
        <w:rPr>
          <w:rFonts w:eastAsia="Times New Roman" w:cs="Times New Roman"/>
          <w:b/>
          <w:bCs/>
          <w:lang w:eastAsia="lt-LT"/>
        </w:rPr>
        <w:t>Pagrindinės įvykdytos reformos, esminės priemonės ir kiti svarbūs atlikti darbai.</w:t>
      </w:r>
    </w:p>
    <w:p w:rsidR="0077662B" w:rsidRPr="0077662B" w:rsidRDefault="0077662B" w:rsidP="0077662B">
      <w:pPr>
        <w:spacing w:after="120"/>
        <w:jc w:val="both"/>
        <w:rPr>
          <w:rFonts w:eastAsia="Times New Roman" w:cs="Times New Roman"/>
          <w:lang w:eastAsia="lt-LT"/>
        </w:rPr>
      </w:pPr>
      <w:r w:rsidRPr="0077662B">
        <w:rPr>
          <w:rFonts w:eastAsia="Times New Roman" w:cs="Times New Roman"/>
          <w:bCs/>
          <w:lang w:eastAsia="lt-LT"/>
        </w:rPr>
        <w:t xml:space="preserve">        Panevėžio lopšelyje-darželyje „Taika“ 2016 m. toliau buvo įgyvendinamos ugdymo reformos, siejamos su strateginių tikslų įgyvendinimu.</w:t>
      </w:r>
      <w:r w:rsidRPr="0077662B">
        <w:rPr>
          <w:rFonts w:eastAsia="Times New Roman" w:cs="Times New Roman"/>
          <w:b/>
          <w:lang w:eastAsia="lt-LT"/>
        </w:rPr>
        <w:t xml:space="preserve"> </w:t>
      </w:r>
      <w:r w:rsidRPr="0077662B">
        <w:rPr>
          <w:rFonts w:eastAsia="Times New Roman" w:cs="Times New Roman"/>
          <w:lang w:eastAsia="lt-LT"/>
        </w:rPr>
        <w:t>Įgyvendinama ikimokyklinio ugdymo programa ,,Vaikystės spindulėliai“, pakeisti vaikų pasiekimų vertinimo kriterijai, patvirtintas vaikų vertinimo tvarkos aprašas, nustatytos vaiko vertinimo pasiekimų sritys. Atnaujinta ir įgyvendinama vaikų sveikatos stiprinimo ir saugumo užtikrinimo programa 2014-2018 metams, pratęstas lopšelio-darželio ,,Taika“ dalyvavimas respublikiniame sveikatą stiprinančių mokyklų tinkle iki 2018 metų. Pakartotinai atlikti tyrimai dėl vaikų sveiko maisto vartojimo ir vaikų sveiko maitinimo galimybių, parengtas ir pateiktas projektas Panevėžio miesto savivaldybės sveikatos skyriui ,,Turiu augti sveikas“, projekto vykdymui gauta finansinė parama 250 eurų. Už minėtą sumą įsigyta futbolo vartai ir futbolo kamuoliai, suorganizuotos bendruomenės sporto šventės, vaikų judėjimo akcijos. Tačiau vaikų sergamumas nemažėja ir tai yra problema. Buvo atlikta bendruomenės tėvų apklausa dėl vaikų sergamumo mažinimo, nustatyta, kad vaikai su tėvais per mažai juda, per mažai būna gryname ore, neteisingai maitinasi. Bendruomenė veiklos prioritetuose numato tėvų švietimą sveikos gyvensenos, sveikos mitybos temomis, numatomi bendri sveikatos stiprinimo renginiai įstaigoje. Bandoma užtikrinti vaikų didesnes judėjimo ir sportavimo galimybes darželyje, aiškinamasi vaikų ligų priežastys su kiekvienu mokytoju ir tėvais</w:t>
      </w:r>
      <w:r w:rsidRPr="0077662B">
        <w:rPr>
          <w:rFonts w:eastAsia="Times New Roman" w:cs="Times New Roman"/>
          <w:b/>
          <w:lang w:eastAsia="lt-LT"/>
        </w:rPr>
        <w:t>,</w:t>
      </w:r>
      <w:r w:rsidRPr="0077662B">
        <w:rPr>
          <w:rFonts w:eastAsia="Times New Roman" w:cs="Times New Roman"/>
          <w:lang w:eastAsia="lt-LT"/>
        </w:rPr>
        <w:t xml:space="preserve"> laikomasi dienos režimo, vaikai vedami į lauką, vėdinamos patalpos, didelis dėmesys skiriamas vaikų asmeninei higienai. Vedamos pamokėlės ugdytiniams apie sveiką gyvenseną ir mitybą.</w:t>
      </w:r>
      <w:r w:rsidRPr="0077662B">
        <w:rPr>
          <w:rFonts w:eastAsia="Times New Roman" w:cs="Times New Roman"/>
          <w:b/>
          <w:lang w:eastAsia="lt-LT"/>
        </w:rPr>
        <w:t xml:space="preserve"> </w:t>
      </w:r>
      <w:r w:rsidRPr="0077662B">
        <w:rPr>
          <w:rFonts w:eastAsia="Times New Roman" w:cs="Times New Roman"/>
          <w:lang w:eastAsia="lt-LT"/>
        </w:rPr>
        <w:t>Mokykloje toliau daugėja specialiųjų poreikių vaikų, 2016 m. numatyta specialioji pagalba 9 didelius specialiuosius poreikius turintiems vaikams, nuo 2016 m. rugsėjo 1 d. teikiamos 0,25 et. specialiojo pedagogo paslaugos.</w:t>
      </w:r>
    </w:p>
    <w:p w:rsidR="0077662B" w:rsidRPr="0077662B" w:rsidRDefault="0077662B" w:rsidP="0077662B">
      <w:pPr>
        <w:spacing w:after="120"/>
        <w:jc w:val="both"/>
        <w:rPr>
          <w:rFonts w:eastAsia="Times New Roman" w:cs="Times New Roman"/>
          <w:lang w:eastAsia="lt-LT"/>
        </w:rPr>
      </w:pPr>
    </w:p>
    <w:p w:rsidR="0077662B" w:rsidRPr="0077662B" w:rsidRDefault="0077662B" w:rsidP="0077662B">
      <w:pPr>
        <w:spacing w:after="120"/>
        <w:jc w:val="both"/>
        <w:rPr>
          <w:rFonts w:eastAsia="Times New Roman" w:cs="Times New Roman"/>
          <w:lang w:eastAsia="lt-LT"/>
        </w:rPr>
      </w:pPr>
    </w:p>
    <w:p w:rsidR="0077662B" w:rsidRPr="0077662B" w:rsidRDefault="0077662B" w:rsidP="0077662B">
      <w:pPr>
        <w:spacing w:after="120"/>
        <w:jc w:val="both"/>
        <w:rPr>
          <w:rFonts w:eastAsia="Times New Roman" w:cs="Times New Roman"/>
          <w:b/>
          <w:lang w:eastAsia="lt-LT"/>
        </w:rPr>
      </w:pPr>
      <w:r w:rsidRPr="0077662B">
        <w:rPr>
          <w:rFonts w:eastAsia="Times New Roman" w:cs="Times New Roman"/>
          <w:lang w:eastAsia="lt-LT"/>
        </w:rPr>
        <w:t>8 diagrama.</w:t>
      </w:r>
      <w:r w:rsidRPr="0077662B">
        <w:rPr>
          <w:rFonts w:eastAsia="Times New Roman" w:cs="Times New Roman"/>
          <w:b/>
          <w:lang w:eastAsia="lt-LT"/>
        </w:rPr>
        <w:t xml:space="preserve"> PRALEISTOS DIENOS DĖL LIGOS, TENKANČIOS VIENAM VAIKUI </w:t>
      </w:r>
    </w:p>
    <w:p w:rsidR="0077662B" w:rsidRPr="0077662B" w:rsidRDefault="0077662B" w:rsidP="0077662B">
      <w:pPr>
        <w:spacing w:after="120"/>
        <w:jc w:val="center"/>
        <w:rPr>
          <w:rFonts w:eastAsia="Times New Roman" w:cs="Times New Roman"/>
          <w:lang w:eastAsia="lt-LT"/>
        </w:rPr>
      </w:pPr>
      <w:r w:rsidRPr="0077662B">
        <w:rPr>
          <w:rFonts w:eastAsia="Times New Roman" w:cs="Times New Roman"/>
          <w:noProof/>
          <w:lang w:eastAsia="lt-LT"/>
        </w:rPr>
        <w:drawing>
          <wp:inline distT="0" distB="0" distL="0" distR="0" wp14:anchorId="4B023AAE" wp14:editId="2F920B7D">
            <wp:extent cx="5629275" cy="1590675"/>
            <wp:effectExtent l="0" t="0" r="9525"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662B" w:rsidRPr="0077662B" w:rsidRDefault="0077662B" w:rsidP="0077662B">
      <w:pPr>
        <w:spacing w:after="120"/>
        <w:jc w:val="both"/>
        <w:rPr>
          <w:rFonts w:eastAsia="Times New Roman" w:cs="Times New Roman"/>
          <w:lang w:eastAsia="lt-LT"/>
        </w:rPr>
      </w:pPr>
      <w:r w:rsidRPr="0077662B">
        <w:rPr>
          <w:rFonts w:eastAsia="Times New Roman" w:cs="Times New Roman"/>
          <w:lang w:eastAsia="lt-LT"/>
        </w:rPr>
        <w:tab/>
        <w:t xml:space="preserve">Mokyklos finansinės galimybės neatitinka pasiektų ugdymo(si) rezultatų: mokykla pasiekusi respublikinį sveikatą stiprinančių mokyklų statusą ir aktyviai dalyvauja vaikų sveikatinimo respublikinėje veikloje, tačiau mokyklos pastatai bei teritoriją juosianti tvora neatitinka higienos normų reikalavimų, neužtikrinamas vaikų saugumas ir sveikata. 2016 metais toliau vykdomos Europos sąjungos programos ,,Vaisiai vaikams“ ir ,,Pienas vaikams“.  Mokyklos darbuotojai kėlė kvalifikaciją viešųjų pirkimų organizavimo kursuose, sudarytos didesnės galimybės naudotis kompiuterinėmis technologijomis. </w:t>
      </w:r>
    </w:p>
    <w:p w:rsidR="0077662B" w:rsidRPr="0077662B" w:rsidRDefault="0077662B" w:rsidP="0077662B">
      <w:pPr>
        <w:spacing w:after="120"/>
        <w:jc w:val="both"/>
        <w:rPr>
          <w:rFonts w:eastAsia="Times New Roman" w:cs="Times New Roman"/>
          <w:lang w:eastAsia="lt-LT"/>
        </w:rPr>
      </w:pPr>
      <w:r w:rsidRPr="0077662B">
        <w:rPr>
          <w:rFonts w:eastAsia="Times New Roman" w:cs="Times New Roman"/>
          <w:lang w:eastAsia="lt-LT"/>
        </w:rPr>
        <w:tab/>
        <w:t xml:space="preserve">Didesnis dėmesys buvo skiriamas mokyklos veiklos viešinimui, sukurtame internetiniame puslapyje talpinama naujausia informacija apie   švietimo paslaugas, įstaigos renginius, finansinę veiklą. Mokytojai aktyviai dalyvavo projektinėje veikloje, dalinosi gerąja patirtimi konferencijose, miesto metodiniuose renginiuose. Mokyklai įsigijus naują </w:t>
      </w:r>
      <w:r w:rsidRPr="0077662B">
        <w:rPr>
          <w:rFonts w:eastAsia="Times New Roman" w:cs="Times New Roman"/>
          <w:b/>
          <w:lang w:eastAsia="lt-LT"/>
        </w:rPr>
        <w:t xml:space="preserve"> </w:t>
      </w:r>
      <w:r w:rsidRPr="0077662B">
        <w:rPr>
          <w:rFonts w:eastAsia="Times New Roman" w:cs="Times New Roman"/>
          <w:lang w:eastAsia="lt-LT"/>
        </w:rPr>
        <w:t xml:space="preserve">kompiuterį logopedo kabinetui, atsirado galimybė informaciją kaupti, analizuoti ir pateikti naudojantis naujausiomis technologijomis. </w:t>
      </w:r>
    </w:p>
    <w:p w:rsidR="0077662B" w:rsidRPr="0077662B" w:rsidRDefault="0077662B" w:rsidP="0077662B">
      <w:pPr>
        <w:spacing w:after="120"/>
        <w:jc w:val="both"/>
        <w:rPr>
          <w:rFonts w:eastAsia="Times New Roman" w:cs="Times New Roman"/>
          <w:lang w:eastAsia="lt-LT"/>
        </w:rPr>
      </w:pPr>
      <w:r w:rsidRPr="0077662B">
        <w:rPr>
          <w:rFonts w:eastAsia="Times New Roman" w:cs="Times New Roman"/>
          <w:lang w:eastAsia="lt-LT"/>
        </w:rPr>
        <w:tab/>
        <w:t xml:space="preserve">Lopšelyje-darželyje ,,Taika“ ūkinė – finansinė veikla buvo vykdoma pagal numatytą planą ir skirtas lėšas. Pavasarį pakeistas smėlis visose lopšelio-darželio smėlio dėžėse, pakeista lauko pavėsinių danga, atvežtas juodžemis, užsėta žolė. Suremontuotos pagrindinio koridoriaus patalpos, suremontuotas buvęs logopedo kabinetas, logopedo kabinetas įrengtas naujose patalpose. Įrengta tėvų konsultavimo ir informavimo atskira patalpa. Nupirkta ir pakeista valgyklos grindų danga, pakeistos lopšelio rūbinėlių grindų dangos, suremontuotas  korpusus jungiančio pastato stogas, pakeistas virtuvės garų surinkėjas, įsigyta </w:t>
      </w:r>
      <w:proofErr w:type="spellStart"/>
      <w:r w:rsidRPr="0077662B">
        <w:rPr>
          <w:rFonts w:eastAsia="Times New Roman" w:cs="Times New Roman"/>
          <w:lang w:eastAsia="lt-LT"/>
        </w:rPr>
        <w:t>konvekcinė</w:t>
      </w:r>
      <w:proofErr w:type="spellEnd"/>
      <w:r w:rsidRPr="0077662B">
        <w:rPr>
          <w:rFonts w:eastAsia="Times New Roman" w:cs="Times New Roman"/>
          <w:lang w:eastAsia="lt-LT"/>
        </w:rPr>
        <w:t xml:space="preserve"> kepimo krosnis, pakeista elektrinė kepimo krosnis virtuvėje. </w:t>
      </w:r>
      <w:r w:rsidRPr="0077662B">
        <w:rPr>
          <w:rFonts w:eastAsia="Times New Roman" w:cs="Times New Roman"/>
          <w:color w:val="000000"/>
          <w:lang w:eastAsia="lt-LT"/>
        </w:rPr>
        <w:t>Virtuvė papildyta naujais maisto gaminimo įrankiais ir maisto gaminimui skirtais indais. Įsigyta nauja garso aparatūra, skirta  organizuoti vaikų renginius lauke.</w:t>
      </w:r>
    </w:p>
    <w:p w:rsidR="0077662B" w:rsidRPr="0077662B" w:rsidRDefault="0077662B" w:rsidP="0077662B">
      <w:pPr>
        <w:jc w:val="both"/>
        <w:rPr>
          <w:rFonts w:eastAsia="Times New Roman" w:cs="Times New Roman"/>
          <w:lang w:eastAsia="lt-LT"/>
        </w:rPr>
      </w:pPr>
      <w:r w:rsidRPr="0077662B">
        <w:rPr>
          <w:rFonts w:eastAsia="Times New Roman" w:cs="Times New Roman"/>
          <w:b/>
          <w:lang w:eastAsia="lt-LT"/>
        </w:rPr>
        <w:t>Svarbios neįvykdytos priemonės (projektai) ir jų neįvykdymo priežastys</w:t>
      </w:r>
      <w:r w:rsidRPr="0077662B">
        <w:rPr>
          <w:rFonts w:eastAsia="Times New Roman" w:cs="Times New Roman"/>
          <w:lang w:eastAsia="lt-LT"/>
        </w:rPr>
        <w:t>.</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ab/>
        <w:t>Higienos normų reikalavimų neatitinka mokyklos langai, kurie yra nesandarūs, dalis iš jų neatsidaro. 2016 m. Panevėžio miesto savivaldybei skyrus lėšų, išasfaltuotas įstaigos kiemas ir įvažas, asfalto danga padengti vaikų pasivaikščiojimo takai ir krepšinio aikštelė. Mokyklos tvora neatitinka higienos normų reikalavimų. 2016 m. Panevėžio lopšelio-darželio ,,Taika“ mokyklos  taryba dar kartą kreipėsi į Panevėžio miesto savivaldybės administraciją, tikėdamasi pagalbos dėl įstaigos langų pakeitimo.</w:t>
      </w:r>
    </w:p>
    <w:p w:rsidR="0077662B" w:rsidRPr="0077662B" w:rsidRDefault="0077662B" w:rsidP="0077662B">
      <w:pPr>
        <w:spacing w:after="120"/>
        <w:jc w:val="both"/>
        <w:rPr>
          <w:rFonts w:eastAsia="Times New Roman" w:cs="Times New Roman"/>
          <w:b/>
          <w:bCs/>
          <w:lang w:eastAsia="lt-LT"/>
        </w:rPr>
      </w:pPr>
      <w:r w:rsidRPr="0077662B">
        <w:rPr>
          <w:rFonts w:eastAsia="Times New Roman" w:cs="Times New Roman"/>
          <w:b/>
          <w:bCs/>
          <w:lang w:eastAsia="lt-LT"/>
        </w:rPr>
        <w:t xml:space="preserve">Patvirtintų asignavimų panaudojimas. </w:t>
      </w:r>
      <w:r w:rsidRPr="0077662B">
        <w:rPr>
          <w:rFonts w:eastAsia="Times New Roman" w:cs="Times New Roman"/>
          <w:lang w:eastAsia="lt-LT"/>
        </w:rPr>
        <w:t>2016 m.  ES lėšų lopšeliui-darželiui „Taika“ nebuvo skirta.</w:t>
      </w:r>
    </w:p>
    <w:p w:rsidR="0077662B" w:rsidRPr="0077662B" w:rsidRDefault="0077662B" w:rsidP="0077662B">
      <w:pPr>
        <w:spacing w:after="120"/>
        <w:jc w:val="both"/>
        <w:rPr>
          <w:rFonts w:eastAsia="Times New Roman" w:cs="Times New Roman"/>
          <w:lang w:eastAsia="lt-LT"/>
        </w:rPr>
      </w:pPr>
      <w:r w:rsidRPr="0077662B">
        <w:rPr>
          <w:rFonts w:eastAsia="Times New Roman" w:cs="Times New Roman"/>
          <w:lang w:eastAsia="lt-LT"/>
        </w:rPr>
        <w:t xml:space="preserve">2016 m. bendra informacija apie lopšeliui-darželiui „Taika“  skirtus  </w:t>
      </w:r>
      <w:proofErr w:type="spellStart"/>
      <w:r w:rsidRPr="0077662B">
        <w:rPr>
          <w:rFonts w:eastAsia="Times New Roman" w:cs="Times New Roman"/>
          <w:lang w:eastAsia="lt-LT"/>
        </w:rPr>
        <w:t>asignavimus</w:t>
      </w:r>
      <w:proofErr w:type="spellEnd"/>
      <w:r w:rsidRPr="0077662B">
        <w:rPr>
          <w:rFonts w:eastAsia="Times New Roman" w:cs="Times New Roman"/>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060"/>
      </w:tblGrid>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b/>
                <w:lang w:eastAsia="lt-LT"/>
              </w:rPr>
            </w:pPr>
            <w:r w:rsidRPr="0077662B">
              <w:rPr>
                <w:rFonts w:eastAsia="Times New Roman" w:cs="Times New Roman"/>
                <w:b/>
                <w:lang w:eastAsia="lt-LT"/>
              </w:rPr>
              <w:t>Asignavimai</w:t>
            </w:r>
          </w:p>
          <w:p w:rsidR="0077662B" w:rsidRPr="0077662B" w:rsidRDefault="0077662B" w:rsidP="0077662B">
            <w:pPr>
              <w:rPr>
                <w:rFonts w:eastAsia="Times New Roman" w:cs="Times New Roman"/>
                <w:b/>
                <w:lang w:eastAsia="lt-LT"/>
              </w:rPr>
            </w:pPr>
            <w:r w:rsidRPr="0077662B">
              <w:rPr>
                <w:rFonts w:eastAsia="Times New Roman" w:cs="Times New Roman"/>
                <w:b/>
                <w:lang w:eastAsia="lt-LT"/>
              </w:rPr>
              <w:t>2016  m. ( eurais)</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1. Lėšų poreikis programai</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441678,88</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2. Finansavimas</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435707,98</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b/>
                <w:lang w:eastAsia="lt-LT"/>
              </w:rPr>
            </w:pPr>
            <w:r w:rsidRPr="0077662B">
              <w:rPr>
                <w:rFonts w:eastAsia="Times New Roman" w:cs="Times New Roman"/>
                <w:b/>
                <w:lang w:eastAsia="lt-LT"/>
              </w:rPr>
              <w:t>2.1. Savivaldybės biudžetas</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b/>
                <w:lang w:eastAsia="lt-LT"/>
              </w:rPr>
            </w:pPr>
            <w:r w:rsidRPr="0077662B">
              <w:rPr>
                <w:rFonts w:eastAsia="Times New Roman" w:cs="Times New Roman"/>
                <w:b/>
                <w:lang w:eastAsia="lt-LT"/>
              </w:rPr>
              <w:t>433329,10</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Iš jų:</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2.1.1. mokymo aplinkai</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253500</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2.1.2. valstybės deleguotoms funkcijoms vykdyti (mokinio krepšelis)</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135000</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2.1.3. specialiosios lėšos</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44829,10</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2.1.4. Viešieji darbai</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b/>
                <w:lang w:eastAsia="lt-LT"/>
              </w:rPr>
            </w:pPr>
            <w:r w:rsidRPr="0077662B">
              <w:rPr>
                <w:rFonts w:eastAsia="Times New Roman" w:cs="Times New Roman"/>
                <w:b/>
                <w:lang w:eastAsia="lt-LT"/>
              </w:rPr>
              <w:lastRenderedPageBreak/>
              <w:t>2.2. Lietuvos Respublikos valstybės biudžetas (nemokamas maitinimas)</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b/>
                <w:lang w:eastAsia="lt-LT"/>
              </w:rPr>
            </w:pPr>
            <w:r w:rsidRPr="0077662B">
              <w:rPr>
                <w:rFonts w:eastAsia="Times New Roman" w:cs="Times New Roman"/>
                <w:b/>
                <w:lang w:eastAsia="lt-LT"/>
              </w:rPr>
              <w:t>972</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b/>
                <w:lang w:eastAsia="lt-LT"/>
              </w:rPr>
            </w:pPr>
            <w:r w:rsidRPr="0077662B">
              <w:rPr>
                <w:rFonts w:eastAsia="Times New Roman" w:cs="Times New Roman"/>
                <w:b/>
                <w:lang w:eastAsia="lt-LT"/>
              </w:rPr>
              <w:t>2.3. Lietuvos Respublikos valstybės biudžetas (socialinių pedagogų programos)</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b/>
                <w:lang w:eastAsia="lt-LT"/>
              </w:rPr>
            </w:pPr>
            <w:r w:rsidRPr="0077662B">
              <w:rPr>
                <w:rFonts w:eastAsia="Times New Roman" w:cs="Times New Roman"/>
                <w:b/>
                <w:lang w:eastAsia="lt-LT"/>
              </w:rPr>
              <w:t>2.4. ES lėšos</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b/>
                <w:lang w:eastAsia="lt-LT"/>
              </w:rPr>
            </w:pPr>
            <w:r w:rsidRPr="0077662B">
              <w:rPr>
                <w:rFonts w:eastAsia="Times New Roman" w:cs="Times New Roman"/>
                <w:b/>
                <w:lang w:eastAsia="lt-LT"/>
              </w:rPr>
              <w:t>2.5. Kiti šaltiniai</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b/>
                <w:lang w:eastAsia="lt-LT"/>
              </w:rPr>
            </w:pPr>
            <w:r w:rsidRPr="0077662B">
              <w:rPr>
                <w:rFonts w:eastAsia="Times New Roman" w:cs="Times New Roman"/>
                <w:b/>
                <w:lang w:eastAsia="lt-LT"/>
              </w:rPr>
              <w:t>1406,88</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Iš jų:</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2.5.1. Savivaldybės privatizavimo fondas</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2.5.2. parama</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1406,88</w:t>
            </w:r>
          </w:p>
        </w:tc>
      </w:tr>
      <w:tr w:rsidR="0077662B" w:rsidRPr="0077662B" w:rsidTr="00CC772F">
        <w:tc>
          <w:tcPr>
            <w:tcW w:w="6588"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rPr>
                <w:rFonts w:eastAsia="Times New Roman" w:cs="Times New Roman"/>
                <w:lang w:eastAsia="lt-LT"/>
              </w:rPr>
            </w:pPr>
            <w:r w:rsidRPr="0077662B">
              <w:rPr>
                <w:rFonts w:eastAsia="Times New Roman" w:cs="Times New Roman"/>
                <w:lang w:eastAsia="lt-LT"/>
              </w:rPr>
              <w:t>2.5.3. kitos lėšos (viešieji darbai)</w:t>
            </w:r>
          </w:p>
        </w:tc>
        <w:tc>
          <w:tcPr>
            <w:tcW w:w="3060" w:type="dxa"/>
            <w:tcBorders>
              <w:top w:val="single" w:sz="4" w:space="0" w:color="auto"/>
              <w:left w:val="single" w:sz="4" w:space="0" w:color="auto"/>
              <w:bottom w:val="single" w:sz="4" w:space="0" w:color="auto"/>
              <w:right w:val="single" w:sz="4" w:space="0" w:color="auto"/>
            </w:tcBorders>
          </w:tcPr>
          <w:p w:rsidR="0077662B" w:rsidRPr="0077662B" w:rsidRDefault="0077662B" w:rsidP="0077662B">
            <w:pPr>
              <w:jc w:val="center"/>
              <w:rPr>
                <w:rFonts w:eastAsia="Times New Roman" w:cs="Times New Roman"/>
                <w:lang w:eastAsia="lt-LT"/>
              </w:rPr>
            </w:pPr>
            <w:r w:rsidRPr="0077662B">
              <w:rPr>
                <w:rFonts w:eastAsia="Times New Roman" w:cs="Times New Roman"/>
                <w:lang w:eastAsia="lt-LT"/>
              </w:rPr>
              <w:t>-</w:t>
            </w:r>
          </w:p>
        </w:tc>
      </w:tr>
    </w:tbl>
    <w:p w:rsidR="0077662B" w:rsidRPr="0077662B" w:rsidRDefault="0077662B" w:rsidP="0077662B">
      <w:pPr>
        <w:jc w:val="both"/>
        <w:rPr>
          <w:rFonts w:eastAsia="Times New Roman" w:cs="Times New Roman"/>
          <w:b/>
          <w:lang w:eastAsia="lt-LT"/>
        </w:rPr>
      </w:pPr>
      <w:r w:rsidRPr="0077662B">
        <w:rPr>
          <w:rFonts w:eastAsia="Times New Roman" w:cs="Times New Roman"/>
          <w:b/>
          <w:lang w:eastAsia="lt-LT"/>
        </w:rPr>
        <w:t>Mokinio krepšelio lėšos (eurais):</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 xml:space="preserve">2016 m. mokinio krepšeliui skirtos lėšos sudarė viso 135 000 , tame tarpe: ikimokyklinio – 124 200  ir priešmokyklinio – 10 800.  Visos skirtos lėšos panaudotos. </w:t>
      </w:r>
      <w:r w:rsidRPr="0077662B">
        <w:rPr>
          <w:rFonts w:eastAsia="Times New Roman" w:cs="Times New Roman"/>
          <w:b/>
          <w:lang w:eastAsia="lt-LT"/>
        </w:rPr>
        <w:t>Savivaldybės lėšos:</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 xml:space="preserve">2016 m. iš  viso skirta 253 500 , iš jų darbo užmokesčiui 159 500, Sodrai – 49 400. </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 xml:space="preserve">Prekėms, paslaugoms ir kitoms išlaidoms – 41 400  ir 3 200 ilgalaikiam turtui.  Visos lėšos panaudotos. </w:t>
      </w:r>
    </w:p>
    <w:p w:rsidR="0077662B" w:rsidRPr="0077662B" w:rsidRDefault="0077662B" w:rsidP="0077662B">
      <w:pPr>
        <w:jc w:val="both"/>
        <w:rPr>
          <w:rFonts w:eastAsia="Times New Roman" w:cs="Times New Roman"/>
          <w:b/>
          <w:lang w:eastAsia="lt-LT"/>
        </w:rPr>
      </w:pPr>
      <w:r w:rsidRPr="0077662B">
        <w:rPr>
          <w:rFonts w:eastAsia="Times New Roman" w:cs="Times New Roman"/>
          <w:b/>
          <w:lang w:eastAsia="lt-LT"/>
        </w:rPr>
        <w:t xml:space="preserve">Paramos lėšos: </w:t>
      </w:r>
      <w:r w:rsidRPr="0077662B">
        <w:rPr>
          <w:rFonts w:eastAsia="Times New Roman" w:cs="Times New Roman"/>
          <w:lang w:eastAsia="lt-LT"/>
        </w:rPr>
        <w:t xml:space="preserve">metų pradžioje 2016-01-01 likutis viso 1895, 37 . </w:t>
      </w:r>
    </w:p>
    <w:p w:rsidR="0077662B" w:rsidRPr="0077662B" w:rsidRDefault="0077662B" w:rsidP="0077662B">
      <w:pPr>
        <w:jc w:val="both"/>
        <w:rPr>
          <w:rFonts w:ascii="TimesNewRomanPSMT" w:eastAsia="Times New Roman" w:hAnsi="TimesNewRomanPSMT" w:cs="TimesNewRomanPSMT"/>
          <w:lang w:eastAsia="lt-LT"/>
        </w:rPr>
      </w:pPr>
      <w:r w:rsidRPr="0077662B">
        <w:rPr>
          <w:rFonts w:eastAsia="Times New Roman" w:cs="Times New Roman"/>
          <w:lang w:eastAsia="lt-LT"/>
        </w:rPr>
        <w:t xml:space="preserve">2016 m. gauta 1406,88 ; panaudota 3005,84. </w:t>
      </w:r>
      <w:r w:rsidRPr="0077662B">
        <w:rPr>
          <w:rFonts w:ascii="TimesNewRomanPSMT" w:eastAsia="Times New Roman" w:hAnsi="TimesNewRomanPSMT" w:cs="TimesNewRomanPSMT"/>
          <w:lang w:eastAsia="lt-LT"/>
        </w:rPr>
        <w:t>Likutis 2016-12-31 – 296,41</w:t>
      </w:r>
    </w:p>
    <w:p w:rsidR="0077662B" w:rsidRPr="0077662B" w:rsidRDefault="0077662B" w:rsidP="0077662B">
      <w:pPr>
        <w:jc w:val="both"/>
        <w:rPr>
          <w:rFonts w:eastAsia="Times New Roman" w:cs="Times New Roman"/>
          <w:lang w:eastAsia="lt-LT"/>
        </w:rPr>
      </w:pPr>
    </w:p>
    <w:p w:rsidR="0077662B" w:rsidRPr="0077662B" w:rsidRDefault="0077662B" w:rsidP="0077662B">
      <w:pPr>
        <w:spacing w:after="120"/>
        <w:jc w:val="center"/>
        <w:rPr>
          <w:rFonts w:eastAsia="Times New Roman" w:cs="Times New Roman"/>
          <w:b/>
          <w:lang w:eastAsia="lt-LT"/>
        </w:rPr>
      </w:pPr>
      <w:r w:rsidRPr="0077662B">
        <w:rPr>
          <w:rFonts w:eastAsia="Times New Roman" w:cs="Times New Roman"/>
          <w:b/>
          <w:lang w:eastAsia="lt-LT"/>
        </w:rPr>
        <w:t>IV. ARTIMIAUSIO LAIKOTARPIO ĮSTAIGOS VEIKLOS PRIORITETINĖS KRYPTYS</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 xml:space="preserve">1. Organizuoti elektroninio dienyno įvedimą, administravimą ir priežiūrą įstaigoje nuo 2017-09-01. </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2. Ieškoti socialinių partnerių tarptautinėje erdvėje, vykdant projektus, tobulinančius vaikų anglų kalbos bendravimo įgūdžius.</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2. Skatinti pedagogų veiklą, aktyvinant vaikų judėjimą ir sportinių įgūdžių formavimą, inicijuoti  sveikos gyvensenos ir sveikos mitybos  sklaidą tėvų, globėjų, darbuotojų tarpe.</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3. Aktyviai dalyvauti  vaikų kūrybiškumo ugdymo projektuose, pritraukiant lėšų jų įgyvendinimui..</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 xml:space="preserve">4. Bendradarbiauti su steigėju, ieškant galimybių   lėšų įsigijimui mokyklos langų pakeitimui. </w:t>
      </w:r>
    </w:p>
    <w:p w:rsidR="0077662B" w:rsidRPr="0077662B" w:rsidRDefault="0077662B" w:rsidP="0077662B">
      <w:pPr>
        <w:jc w:val="both"/>
        <w:rPr>
          <w:rFonts w:eastAsia="Times New Roman" w:cs="Times New Roman"/>
          <w:lang w:eastAsia="lt-LT"/>
        </w:rPr>
      </w:pPr>
      <w:r w:rsidRPr="0077662B">
        <w:rPr>
          <w:rFonts w:eastAsia="Times New Roman" w:cs="Times New Roman"/>
          <w:lang w:eastAsia="lt-LT"/>
        </w:rPr>
        <w:t>5. Ieškoti rėmėjų, socialinių partnerių, pritraukiant lėšas įstaigos lauko žaidimų aikštelių atnaujinimui.</w:t>
      </w:r>
    </w:p>
    <w:p w:rsidR="0077662B" w:rsidRPr="0077662B" w:rsidRDefault="0077662B" w:rsidP="0077662B">
      <w:pPr>
        <w:rPr>
          <w:rFonts w:eastAsia="Times New Roman" w:cs="Times New Roman"/>
          <w:lang w:eastAsia="lt-LT"/>
        </w:rPr>
      </w:pPr>
    </w:p>
    <w:p w:rsidR="0077662B" w:rsidRPr="0077662B" w:rsidRDefault="0077662B" w:rsidP="0077662B">
      <w:pPr>
        <w:rPr>
          <w:rFonts w:eastAsia="Times New Roman" w:cs="Times New Roman"/>
          <w:lang w:eastAsia="lt-LT"/>
        </w:rPr>
      </w:pPr>
    </w:p>
    <w:p w:rsidR="0077662B" w:rsidRPr="0077662B" w:rsidRDefault="0077662B" w:rsidP="0077662B">
      <w:pPr>
        <w:rPr>
          <w:rFonts w:eastAsia="Times New Roman" w:cs="Times New Roman"/>
          <w:lang w:eastAsia="lt-LT"/>
        </w:rPr>
      </w:pPr>
    </w:p>
    <w:p w:rsidR="0077662B" w:rsidRPr="0077662B" w:rsidRDefault="0077662B" w:rsidP="0077662B">
      <w:pPr>
        <w:rPr>
          <w:rFonts w:eastAsia="Times New Roman" w:cs="Times New Roman"/>
          <w:lang w:eastAsia="lt-LT"/>
        </w:rPr>
      </w:pPr>
      <w:r w:rsidRPr="0077662B">
        <w:rPr>
          <w:rFonts w:eastAsia="Times New Roman" w:cs="Times New Roman"/>
          <w:lang w:eastAsia="lt-LT"/>
        </w:rPr>
        <w:t>Panevėžio lopšelio-darželio ,,Taika“</w:t>
      </w:r>
    </w:p>
    <w:p w:rsidR="0077662B" w:rsidRPr="0077662B" w:rsidRDefault="0077662B" w:rsidP="0077662B">
      <w:pPr>
        <w:rPr>
          <w:rFonts w:eastAsia="Times New Roman" w:cs="Times New Roman"/>
          <w:lang w:eastAsia="lt-LT"/>
        </w:rPr>
      </w:pPr>
      <w:r w:rsidRPr="0077662B">
        <w:rPr>
          <w:rFonts w:eastAsia="Times New Roman" w:cs="Times New Roman"/>
          <w:lang w:eastAsia="lt-LT"/>
        </w:rPr>
        <w:t xml:space="preserve">Laikinai einanti direktoriaus pareigas                                             Irena Meiduvienė                                  </w:t>
      </w:r>
    </w:p>
    <w:p w:rsidR="0077662B" w:rsidRPr="0077662B" w:rsidRDefault="0077662B" w:rsidP="0077662B">
      <w:pPr>
        <w:rPr>
          <w:rFonts w:eastAsia="Times New Roman" w:cs="Times New Roman"/>
          <w:lang w:eastAsia="lt-LT"/>
        </w:rPr>
      </w:pPr>
    </w:p>
    <w:p w:rsidR="00FB18A6" w:rsidRDefault="00FB18A6">
      <w:bookmarkStart w:id="0" w:name="_GoBack"/>
      <w:bookmarkEnd w:id="0"/>
    </w:p>
    <w:sectPr w:rsidR="00FB18A6" w:rsidSect="0048278D">
      <w:pgSz w:w="11906" w:h="16838"/>
      <w:pgMar w:top="851" w:right="567" w:bottom="28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Palemonas">
    <w:altName w:val="Times New Roman"/>
    <w:charset w:val="BA"/>
    <w:family w:val="roman"/>
    <w:pitch w:val="variable"/>
    <w:sig w:usb0="A00002EF" w:usb1="1000000E" w:usb2="0000002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21AA"/>
    <w:multiLevelType w:val="hybridMultilevel"/>
    <w:tmpl w:val="71CC25A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295A1C56"/>
    <w:multiLevelType w:val="hybridMultilevel"/>
    <w:tmpl w:val="01822DFC"/>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BE"/>
    <w:rsid w:val="001D77F0"/>
    <w:rsid w:val="00451B57"/>
    <w:rsid w:val="007329BE"/>
    <w:rsid w:val="0077662B"/>
    <w:rsid w:val="00FB18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BE83C-C15B-4E1C-8360-02E0A25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1B57"/>
    <w:pPr>
      <w:spacing w:after="0" w:line="240" w:lineRule="auto"/>
    </w:pPr>
    <w:rPr>
      <w:rFonts w:ascii="Times New Roman" w:hAnsi="Times New Roman"/>
      <w:sz w:val="24"/>
      <w:szCs w:val="24"/>
    </w:rPr>
  </w:style>
  <w:style w:type="paragraph" w:styleId="Antrat2">
    <w:name w:val="heading 2"/>
    <w:basedOn w:val="prastasis"/>
    <w:next w:val="prastasis"/>
    <w:link w:val="Antrat2Diagrama"/>
    <w:uiPriority w:val="9"/>
    <w:unhideWhenUsed/>
    <w:qFormat/>
    <w:rsid w:val="00451B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451B57"/>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51B57"/>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451B5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3.xml"/><Relationship Id="rId12" Type="http://schemas.microsoft.com/office/2007/relationships/diagramDrawing" Target="diagrams/drawing1.xml"/><Relationship Id="rId17" Type="http://schemas.openxmlformats.org/officeDocument/2006/relationships/hyperlink" Target="http://www.szelmeneliai.lt" TargetMode="External"/><Relationship Id="rId2" Type="http://schemas.openxmlformats.org/officeDocument/2006/relationships/styles" Target="styles.xml"/><Relationship Id="rId16" Type="http://schemas.openxmlformats.org/officeDocument/2006/relationships/hyperlink" Target="http://www.ikimokyklinis.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diagramColors" Target="diagrams/colors1.xml"/><Relationship Id="rId5" Type="http://schemas.openxmlformats.org/officeDocument/2006/relationships/chart" Target="charts/chart1.xml"/><Relationship Id="rId15" Type="http://schemas.openxmlformats.org/officeDocument/2006/relationships/chart" Target="charts/chart6.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0"/>
      <c:hPercent val="10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27048108014711E-2"/>
          <c:y val="0"/>
          <c:w val="0.89889561881687863"/>
          <c:h val="0.87278379265091866"/>
        </c:manualLayout>
      </c:layout>
      <c:bar3DChart>
        <c:barDir val="bar"/>
        <c:grouping val="clustered"/>
        <c:varyColors val="0"/>
        <c:ser>
          <c:idx val="0"/>
          <c:order val="0"/>
          <c:tx>
            <c:strRef>
              <c:f>Sheet1!$A$2</c:f>
              <c:strCache>
                <c:ptCount val="1"/>
                <c:pt idx="0">
                  <c:v>East</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Sheet1!$B$1:$H$1</c:f>
              <c:numCache>
                <c:formatCode>General</c:formatCode>
                <c:ptCount val="7"/>
                <c:pt idx="0">
                  <c:v>2010</c:v>
                </c:pt>
                <c:pt idx="1">
                  <c:v>2011</c:v>
                </c:pt>
                <c:pt idx="2">
                  <c:v>2012</c:v>
                </c:pt>
                <c:pt idx="3">
                  <c:v>2013</c:v>
                </c:pt>
                <c:pt idx="4">
                  <c:v>2014</c:v>
                </c:pt>
                <c:pt idx="5">
                  <c:v>2015</c:v>
                </c:pt>
                <c:pt idx="6">
                  <c:v>2016</c:v>
                </c:pt>
              </c:numCache>
            </c:numRef>
          </c:cat>
          <c:val>
            <c:numRef>
              <c:f>Sheet1!$B$2:$H$2</c:f>
              <c:numCache>
                <c:formatCode>General</c:formatCode>
                <c:ptCount val="7"/>
                <c:pt idx="0">
                  <c:v>138</c:v>
                </c:pt>
                <c:pt idx="1">
                  <c:v>142</c:v>
                </c:pt>
                <c:pt idx="2">
                  <c:v>144</c:v>
                </c:pt>
                <c:pt idx="3">
                  <c:v>148</c:v>
                </c:pt>
                <c:pt idx="4">
                  <c:v>145</c:v>
                </c:pt>
                <c:pt idx="5">
                  <c:v>148</c:v>
                </c:pt>
                <c:pt idx="6">
                  <c:v>150</c:v>
                </c:pt>
              </c:numCache>
            </c:numRef>
          </c:val>
        </c:ser>
        <c:dLbls>
          <c:showLegendKey val="0"/>
          <c:showVal val="1"/>
          <c:showCatName val="0"/>
          <c:showSerName val="0"/>
          <c:showPercent val="0"/>
          <c:showBubbleSize val="0"/>
        </c:dLbls>
        <c:gapWidth val="65"/>
        <c:shape val="box"/>
        <c:axId val="362359696"/>
        <c:axId val="362358608"/>
        <c:axId val="0"/>
      </c:bar3DChart>
      <c:catAx>
        <c:axId val="362359696"/>
        <c:scaling>
          <c:orientation val="minMax"/>
        </c:scaling>
        <c:delete val="0"/>
        <c:axPos val="l"/>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62358608"/>
        <c:crosses val="autoZero"/>
        <c:auto val="1"/>
        <c:lblAlgn val="ctr"/>
        <c:lblOffset val="100"/>
        <c:tickLblSkip val="1"/>
        <c:tickMarkSkip val="1"/>
        <c:noMultiLvlLbl val="0"/>
      </c:catAx>
      <c:valAx>
        <c:axId val="362358608"/>
        <c:scaling>
          <c:orientation val="minMax"/>
          <c:min val="100"/>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362359696"/>
        <c:crosses val="autoZero"/>
        <c:crossBetween val="between"/>
      </c:valAx>
      <c:spPr>
        <a:solidFill>
          <a:srgbClr val="FFFF00"/>
        </a:solid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119999999999998"/>
          <c:y val="0.12418300653594772"/>
          <c:w val="0.18720000000000001"/>
          <c:h val="0.76470588235294112"/>
        </c:manualLayout>
      </c:layout>
      <c:pieChart>
        <c:varyColors val="1"/>
        <c:ser>
          <c:idx val="0"/>
          <c:order val="0"/>
          <c:tx>
            <c:strRef>
              <c:f>Sheet1!$A$2</c:f>
              <c:strCache>
                <c:ptCount val="1"/>
                <c:pt idx="0">
                  <c:v>Mokestis už vaikų išlaikymą įstaigoje</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Sheet1!$B$1:$D$1</c:f>
              <c:strCache>
                <c:ptCount val="3"/>
                <c:pt idx="0">
                  <c:v>Atleisti nuo mokesčio 100 proc.</c:v>
                </c:pt>
                <c:pt idx="1">
                  <c:v>Moka 50 proc.</c:v>
                </c:pt>
                <c:pt idx="2">
                  <c:v>Moka 100 proc.</c:v>
                </c:pt>
              </c:strCache>
            </c:strRef>
          </c:cat>
          <c:val>
            <c:numRef>
              <c:f>Sheet1!$B$2:$D$2</c:f>
              <c:numCache>
                <c:formatCode>General</c:formatCode>
                <c:ptCount val="3"/>
                <c:pt idx="0">
                  <c:v>11</c:v>
                </c:pt>
                <c:pt idx="1">
                  <c:v>18</c:v>
                </c:pt>
                <c:pt idx="2">
                  <c:v>108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
    <c:plotVisOnly val="1"/>
    <c:dispBlanksAs val="zero"/>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baseline="0">
          <a:solidFill>
            <a:schemeClr val="tx1"/>
          </a:solidFill>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076923076923075E-2"/>
          <c:y val="7.4285714285714288E-2"/>
          <c:w val="0.93755017659829554"/>
          <c:h val="0.81142857142857139"/>
        </c:manualLayout>
      </c:layout>
      <c:barChart>
        <c:barDir val="col"/>
        <c:grouping val="clustered"/>
        <c:varyColors val="0"/>
        <c:ser>
          <c:idx val="0"/>
          <c:order val="0"/>
          <c:tx>
            <c:strRef>
              <c:f>Sheet1!$A$2</c:f>
              <c:strCache>
                <c:ptCount val="1"/>
                <c:pt idx="0">
                  <c:v>mokytojai</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Sheet1!$B$1:$E$1</c:f>
              <c:numCache>
                <c:formatCode>General</c:formatCode>
                <c:ptCount val="4"/>
              </c:numCache>
            </c:numRef>
          </c:cat>
          <c:val>
            <c:numRef>
              <c:f>Sheet1!$B$2:$E$2</c:f>
              <c:numCache>
                <c:formatCode>General</c:formatCode>
                <c:ptCount val="4"/>
                <c:pt idx="2">
                  <c:v>5</c:v>
                </c:pt>
              </c:numCache>
            </c:numRef>
          </c:val>
        </c:ser>
        <c:ser>
          <c:idx val="1"/>
          <c:order val="1"/>
          <c:tx>
            <c:strRef>
              <c:f>Sheet1!$A$3</c:f>
              <c:strCache>
                <c:ptCount val="1"/>
                <c:pt idx="0">
                  <c:v>vyresnieji mokytojai</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Sheet1!$B$1:$E$1</c:f>
              <c:numCache>
                <c:formatCode>General</c:formatCode>
                <c:ptCount val="4"/>
              </c:numCache>
            </c:numRef>
          </c:cat>
          <c:val>
            <c:numRef>
              <c:f>Sheet1!$B$3:$E$3</c:f>
              <c:numCache>
                <c:formatCode>General</c:formatCode>
                <c:ptCount val="4"/>
                <c:pt idx="2">
                  <c:v>11</c:v>
                </c:pt>
              </c:numCache>
            </c:numRef>
          </c:val>
        </c:ser>
        <c:ser>
          <c:idx val="2"/>
          <c:order val="2"/>
          <c:tx>
            <c:strRef>
              <c:f>Sheet1!$A$4</c:f>
              <c:strCache>
                <c:ptCount val="1"/>
                <c:pt idx="0">
                  <c:v>mokytojai metodininkai</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Sheet1!$B$1:$E$1</c:f>
              <c:numCache>
                <c:formatCode>General</c:formatCode>
                <c:ptCount val="4"/>
              </c:numCache>
            </c:numRef>
          </c:cat>
          <c:val>
            <c:numRef>
              <c:f>Sheet1!$B$4:$E$4</c:f>
              <c:numCache>
                <c:formatCode>General</c:formatCode>
                <c:ptCount val="4"/>
                <c:pt idx="2">
                  <c:v>2</c:v>
                </c:pt>
              </c:numCache>
            </c:numRef>
          </c:val>
        </c:ser>
        <c:dLbls>
          <c:dLblPos val="outEnd"/>
          <c:showLegendKey val="0"/>
          <c:showVal val="1"/>
          <c:showCatName val="0"/>
          <c:showSerName val="0"/>
          <c:showPercent val="0"/>
          <c:showBubbleSize val="0"/>
        </c:dLbls>
        <c:gapWidth val="267"/>
        <c:overlap val="-43"/>
        <c:axId val="362366224"/>
        <c:axId val="362373840"/>
      </c:barChart>
      <c:catAx>
        <c:axId val="3623662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t-LT"/>
          </a:p>
        </c:txPr>
        <c:crossAx val="362373840"/>
        <c:crosses val="autoZero"/>
        <c:auto val="1"/>
        <c:lblAlgn val="ctr"/>
        <c:lblOffset val="100"/>
        <c:noMultiLvlLbl val="0"/>
      </c:catAx>
      <c:valAx>
        <c:axId val="36237384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crossAx val="362366224"/>
        <c:crosses val="autoZero"/>
        <c:crossBetween val="between"/>
      </c:valAx>
      <c:spPr>
        <a:solidFill>
          <a:srgbClr val="FFFF00"/>
        </a:solidFill>
        <a:ln>
          <a:noFill/>
        </a:ln>
        <a:effectLst/>
      </c:spPr>
    </c:plotArea>
    <c:legend>
      <c:legendPos val="b"/>
      <c:layout>
        <c:manualLayout>
          <c:xMode val="edge"/>
          <c:yMode val="edge"/>
          <c:x val="0.21527092446777485"/>
          <c:y val="0.86693607253975169"/>
          <c:w val="0.57369078865141854"/>
          <c:h val="0.118964526684781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239880059970014"/>
          <c:y val="0.12328767123287671"/>
          <c:w val="0.42128935532233885"/>
          <c:h val="0.76712328767123283"/>
        </c:manualLayout>
      </c:layout>
      <c:pie3DChart>
        <c:varyColors val="1"/>
        <c:ser>
          <c:idx val="0"/>
          <c:order val="0"/>
          <c:tx>
            <c:strRef>
              <c:f>Sheet1!$A$2</c:f>
              <c:strCache>
                <c:ptCount val="1"/>
                <c:pt idx="0">
                  <c:v>Mokytojų darbo stažas</c:v>
                </c:pt>
              </c:strCache>
            </c:strRef>
          </c:tx>
          <c:explosion val="1"/>
          <c:dPt>
            <c:idx val="0"/>
            <c:bubble3D val="0"/>
            <c:spPr>
              <a:solidFill>
                <a:schemeClr val="accent3">
                  <a:shade val="50000"/>
                </a:schemeClr>
              </a:solidFill>
              <a:ln>
                <a:noFill/>
              </a:ln>
              <a:effectLst>
                <a:outerShdw blurRad="254000" sx="102000" sy="102000" algn="ctr" rotWithShape="0">
                  <a:prstClr val="black">
                    <a:alpha val="20000"/>
                  </a:prstClr>
                </a:outerShdw>
              </a:effectLst>
              <a:sp3d/>
            </c:spPr>
          </c:dPt>
          <c:dPt>
            <c:idx val="1"/>
            <c:bubble3D val="0"/>
            <c:spPr>
              <a:solidFill>
                <a:schemeClr val="accent3">
                  <a:shade val="70000"/>
                </a:schemeClr>
              </a:solidFill>
              <a:ln>
                <a:noFill/>
              </a:ln>
              <a:effectLst>
                <a:outerShdw blurRad="254000" sx="102000" sy="102000" algn="ctr" rotWithShape="0">
                  <a:prstClr val="black">
                    <a:alpha val="20000"/>
                  </a:prstClr>
                </a:outerShdw>
              </a:effectLst>
              <a:sp3d/>
            </c:spPr>
          </c:dPt>
          <c:dPt>
            <c:idx val="2"/>
            <c:bubble3D val="0"/>
            <c:spPr>
              <a:solidFill>
                <a:schemeClr val="accent3">
                  <a:shade val="90000"/>
                </a:schemeClr>
              </a:solidFill>
              <a:ln>
                <a:noFill/>
              </a:ln>
              <a:effectLst>
                <a:outerShdw blurRad="254000" sx="102000" sy="102000" algn="ctr" rotWithShape="0">
                  <a:prstClr val="black">
                    <a:alpha val="20000"/>
                  </a:prstClr>
                </a:outerShdw>
              </a:effectLst>
              <a:sp3d/>
            </c:spPr>
          </c:dPt>
          <c:dPt>
            <c:idx val="3"/>
            <c:bubble3D val="0"/>
            <c:spPr>
              <a:solidFill>
                <a:schemeClr val="accent3">
                  <a:tint val="90000"/>
                </a:schemeClr>
              </a:solidFill>
              <a:ln>
                <a:noFill/>
              </a:ln>
              <a:effectLst>
                <a:outerShdw blurRad="254000" sx="102000" sy="102000" algn="ctr" rotWithShape="0">
                  <a:prstClr val="black">
                    <a:alpha val="20000"/>
                  </a:prstClr>
                </a:outerShdw>
              </a:effectLst>
              <a:sp3d/>
            </c:spPr>
          </c:dPt>
          <c:dPt>
            <c:idx val="4"/>
            <c:bubble3D val="0"/>
            <c:spPr>
              <a:solidFill>
                <a:schemeClr val="accent3">
                  <a:tint val="70000"/>
                </a:schemeClr>
              </a:solidFill>
              <a:ln>
                <a:noFill/>
              </a:ln>
              <a:effectLst>
                <a:outerShdw blurRad="254000" sx="102000" sy="102000" algn="ctr" rotWithShape="0">
                  <a:prstClr val="black">
                    <a:alpha val="20000"/>
                  </a:prstClr>
                </a:outerShdw>
              </a:effectLst>
              <a:sp3d/>
            </c:spPr>
          </c:dPt>
          <c:dPt>
            <c:idx val="5"/>
            <c:bubble3D val="0"/>
            <c:spPr>
              <a:solidFill>
                <a:schemeClr val="accent3">
                  <a:tint val="50000"/>
                </a:schemeClr>
              </a:solidFill>
              <a:ln>
                <a:noFill/>
              </a:ln>
              <a:effectLst>
                <a:outerShdw blurRad="254000" sx="102000" sy="102000" algn="ctr" rotWithShape="0">
                  <a:prstClr val="black">
                    <a:alpha val="20000"/>
                  </a:prstClr>
                </a:outerShdw>
              </a:effectLst>
              <a:sp3d/>
            </c:spPr>
          </c:dPt>
          <c:dLbls>
            <c:spPr>
              <a:solidFill>
                <a:srgbClr val="00B050"/>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Sheet1!$B$1:$G$1</c:f>
              <c:strCache>
                <c:ptCount val="6"/>
                <c:pt idx="0">
                  <c:v>Nuo 1- 4 m.</c:v>
                </c:pt>
                <c:pt idx="1">
                  <c:v>Nuo 4- 10 m.</c:v>
                </c:pt>
                <c:pt idx="2">
                  <c:v>Nuo 10-15 m.</c:v>
                </c:pt>
                <c:pt idx="3">
                  <c:v>Nuo 20-30 m.</c:v>
                </c:pt>
                <c:pt idx="4">
                  <c:v>Nuo 30-40 m.</c:v>
                </c:pt>
                <c:pt idx="5">
                  <c:v>Daugiau nei 40 m.</c:v>
                </c:pt>
              </c:strCache>
            </c:strRef>
          </c:cat>
          <c:val>
            <c:numRef>
              <c:f>Sheet1!$B$2:$G$2</c:f>
              <c:numCache>
                <c:formatCode>General</c:formatCode>
                <c:ptCount val="6"/>
                <c:pt idx="0">
                  <c:v>2</c:v>
                </c:pt>
                <c:pt idx="1">
                  <c:v>2</c:v>
                </c:pt>
                <c:pt idx="2">
                  <c:v>3</c:v>
                </c:pt>
                <c:pt idx="3">
                  <c:v>2</c:v>
                </c:pt>
                <c:pt idx="4">
                  <c:v>7</c:v>
                </c:pt>
                <c:pt idx="5">
                  <c:v>2</c:v>
                </c:pt>
              </c:numCache>
            </c:numRef>
          </c:val>
        </c:ser>
        <c:ser>
          <c:idx val="1"/>
          <c:order val="1"/>
          <c:tx>
            <c:strRef>
              <c:f>Sheet1!$A$3</c:f>
              <c:strCache>
                <c:ptCount val="1"/>
              </c:strCache>
            </c:strRef>
          </c:tx>
          <c:dPt>
            <c:idx val="0"/>
            <c:bubble3D val="0"/>
            <c:spPr>
              <a:solidFill>
                <a:schemeClr val="accent3">
                  <a:shade val="50000"/>
                </a:schemeClr>
              </a:solidFill>
              <a:ln>
                <a:noFill/>
              </a:ln>
              <a:effectLst>
                <a:outerShdw blurRad="254000" sx="102000" sy="102000" algn="ctr" rotWithShape="0">
                  <a:prstClr val="black">
                    <a:alpha val="20000"/>
                  </a:prstClr>
                </a:outerShdw>
              </a:effectLst>
              <a:sp3d/>
            </c:spPr>
          </c:dPt>
          <c:dPt>
            <c:idx val="1"/>
            <c:bubble3D val="0"/>
            <c:spPr>
              <a:solidFill>
                <a:schemeClr val="accent3">
                  <a:shade val="70000"/>
                </a:schemeClr>
              </a:solidFill>
              <a:ln>
                <a:noFill/>
              </a:ln>
              <a:effectLst>
                <a:outerShdw blurRad="254000" sx="102000" sy="102000" algn="ctr" rotWithShape="0">
                  <a:prstClr val="black">
                    <a:alpha val="20000"/>
                  </a:prstClr>
                </a:outerShdw>
              </a:effectLst>
              <a:sp3d/>
            </c:spPr>
          </c:dPt>
          <c:dPt>
            <c:idx val="2"/>
            <c:bubble3D val="0"/>
            <c:spPr>
              <a:solidFill>
                <a:schemeClr val="accent3">
                  <a:shade val="90000"/>
                </a:schemeClr>
              </a:solidFill>
              <a:ln>
                <a:noFill/>
              </a:ln>
              <a:effectLst>
                <a:outerShdw blurRad="254000" sx="102000" sy="102000" algn="ctr" rotWithShape="0">
                  <a:prstClr val="black">
                    <a:alpha val="20000"/>
                  </a:prstClr>
                </a:outerShdw>
              </a:effectLst>
              <a:sp3d/>
            </c:spPr>
          </c:dPt>
          <c:dPt>
            <c:idx val="3"/>
            <c:bubble3D val="0"/>
            <c:spPr>
              <a:solidFill>
                <a:schemeClr val="accent3">
                  <a:tint val="90000"/>
                </a:schemeClr>
              </a:solidFill>
              <a:ln>
                <a:noFill/>
              </a:ln>
              <a:effectLst>
                <a:outerShdw blurRad="254000" sx="102000" sy="102000" algn="ctr" rotWithShape="0">
                  <a:prstClr val="black">
                    <a:alpha val="20000"/>
                  </a:prstClr>
                </a:outerShdw>
              </a:effectLst>
              <a:sp3d/>
            </c:spPr>
          </c:dPt>
          <c:dPt>
            <c:idx val="4"/>
            <c:bubble3D val="0"/>
            <c:spPr>
              <a:solidFill>
                <a:schemeClr val="accent3">
                  <a:tint val="70000"/>
                </a:schemeClr>
              </a:solidFill>
              <a:ln>
                <a:noFill/>
              </a:ln>
              <a:effectLst>
                <a:outerShdw blurRad="254000" sx="102000" sy="102000" algn="ctr" rotWithShape="0">
                  <a:prstClr val="black">
                    <a:alpha val="20000"/>
                  </a:prstClr>
                </a:outerShdw>
              </a:effectLst>
              <a:sp3d/>
            </c:spPr>
          </c:dPt>
          <c:dPt>
            <c:idx val="5"/>
            <c:bubble3D val="0"/>
            <c:spPr>
              <a:solidFill>
                <a:schemeClr val="accent3">
                  <a:tint val="5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Sheet1!$B$1:$G$1</c:f>
              <c:strCache>
                <c:ptCount val="6"/>
                <c:pt idx="0">
                  <c:v>Nuo 1- 4 m.</c:v>
                </c:pt>
                <c:pt idx="1">
                  <c:v>Nuo 4- 10 m.</c:v>
                </c:pt>
                <c:pt idx="2">
                  <c:v>Nuo 10-15 m.</c:v>
                </c:pt>
                <c:pt idx="3">
                  <c:v>Nuo 20-30 m.</c:v>
                </c:pt>
                <c:pt idx="4">
                  <c:v>Nuo 30-40 m.</c:v>
                </c:pt>
                <c:pt idx="5">
                  <c:v>Daugiau nei 40 m.</c:v>
                </c:pt>
              </c:strCache>
            </c:strRef>
          </c:cat>
          <c:val>
            <c:numRef>
              <c:f>Sheet1!$B$3:$G$3</c:f>
              <c:numCache>
                <c:formatCode>General</c:formatCode>
                <c:ptCount val="6"/>
              </c:numCache>
            </c:numRef>
          </c:val>
        </c:ser>
        <c:ser>
          <c:idx val="2"/>
          <c:order val="2"/>
          <c:tx>
            <c:strRef>
              <c:f>Sheet1!$A$4</c:f>
              <c:strCache>
                <c:ptCount val="1"/>
              </c:strCache>
            </c:strRef>
          </c:tx>
          <c:dPt>
            <c:idx val="0"/>
            <c:bubble3D val="0"/>
            <c:spPr>
              <a:solidFill>
                <a:schemeClr val="accent3">
                  <a:shade val="50000"/>
                </a:schemeClr>
              </a:solidFill>
              <a:ln>
                <a:noFill/>
              </a:ln>
              <a:effectLst>
                <a:outerShdw blurRad="254000" sx="102000" sy="102000" algn="ctr" rotWithShape="0">
                  <a:prstClr val="black">
                    <a:alpha val="20000"/>
                  </a:prstClr>
                </a:outerShdw>
              </a:effectLst>
              <a:sp3d/>
            </c:spPr>
          </c:dPt>
          <c:dPt>
            <c:idx val="1"/>
            <c:bubble3D val="0"/>
            <c:spPr>
              <a:solidFill>
                <a:schemeClr val="accent3">
                  <a:shade val="70000"/>
                </a:schemeClr>
              </a:solidFill>
              <a:ln>
                <a:noFill/>
              </a:ln>
              <a:effectLst>
                <a:outerShdw blurRad="254000" sx="102000" sy="102000" algn="ctr" rotWithShape="0">
                  <a:prstClr val="black">
                    <a:alpha val="20000"/>
                  </a:prstClr>
                </a:outerShdw>
              </a:effectLst>
              <a:sp3d/>
            </c:spPr>
          </c:dPt>
          <c:dPt>
            <c:idx val="2"/>
            <c:bubble3D val="0"/>
            <c:spPr>
              <a:solidFill>
                <a:schemeClr val="accent3">
                  <a:shade val="90000"/>
                </a:schemeClr>
              </a:solidFill>
              <a:ln>
                <a:noFill/>
              </a:ln>
              <a:effectLst>
                <a:outerShdw blurRad="254000" sx="102000" sy="102000" algn="ctr" rotWithShape="0">
                  <a:prstClr val="black">
                    <a:alpha val="20000"/>
                  </a:prstClr>
                </a:outerShdw>
              </a:effectLst>
              <a:sp3d/>
            </c:spPr>
          </c:dPt>
          <c:dPt>
            <c:idx val="3"/>
            <c:bubble3D val="0"/>
            <c:spPr>
              <a:solidFill>
                <a:schemeClr val="accent3">
                  <a:tint val="90000"/>
                </a:schemeClr>
              </a:solidFill>
              <a:ln>
                <a:noFill/>
              </a:ln>
              <a:effectLst>
                <a:outerShdw blurRad="254000" sx="102000" sy="102000" algn="ctr" rotWithShape="0">
                  <a:prstClr val="black">
                    <a:alpha val="20000"/>
                  </a:prstClr>
                </a:outerShdw>
              </a:effectLst>
              <a:sp3d/>
            </c:spPr>
          </c:dPt>
          <c:dPt>
            <c:idx val="4"/>
            <c:bubble3D val="0"/>
            <c:spPr>
              <a:solidFill>
                <a:schemeClr val="accent3">
                  <a:tint val="70000"/>
                </a:schemeClr>
              </a:solidFill>
              <a:ln>
                <a:noFill/>
              </a:ln>
              <a:effectLst>
                <a:outerShdw blurRad="254000" sx="102000" sy="102000" algn="ctr" rotWithShape="0">
                  <a:prstClr val="black">
                    <a:alpha val="20000"/>
                  </a:prstClr>
                </a:outerShdw>
              </a:effectLst>
              <a:sp3d/>
            </c:spPr>
          </c:dPt>
          <c:dPt>
            <c:idx val="5"/>
            <c:bubble3D val="0"/>
            <c:spPr>
              <a:solidFill>
                <a:schemeClr val="accent3">
                  <a:tint val="5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Sheet1!$B$1:$G$1</c:f>
              <c:strCache>
                <c:ptCount val="6"/>
                <c:pt idx="0">
                  <c:v>Nuo 1- 4 m.</c:v>
                </c:pt>
                <c:pt idx="1">
                  <c:v>Nuo 4- 10 m.</c:v>
                </c:pt>
                <c:pt idx="2">
                  <c:v>Nuo 10-15 m.</c:v>
                </c:pt>
                <c:pt idx="3">
                  <c:v>Nuo 20-30 m.</c:v>
                </c:pt>
                <c:pt idx="4">
                  <c:v>Nuo 30-40 m.</c:v>
                </c:pt>
                <c:pt idx="5">
                  <c:v>Daugiau nei 40 m.</c:v>
                </c:pt>
              </c:strCache>
            </c:strRef>
          </c:cat>
          <c:val>
            <c:numRef>
              <c:f>Sheet1!$B$4:$G$4</c:f>
              <c:numCache>
                <c:formatCode>General</c:formatCode>
                <c:ptCount val="6"/>
              </c:numCache>
            </c:numRef>
          </c:val>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zero"/>
    <c:showDLblsOverMax val="0"/>
  </c:chart>
  <c:spPr>
    <a:solidFill>
      <a:srgbClr val="FFC000"/>
    </a:soli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t-LT"/>
        </a:p>
      </c:txPr>
    </c:title>
    <c:autoTitleDeleted val="0"/>
    <c:plotArea>
      <c:layout>
        <c:manualLayout>
          <c:layoutTarget val="inner"/>
          <c:xMode val="edge"/>
          <c:yMode val="edge"/>
          <c:x val="6.7669172932330823E-2"/>
          <c:y val="0.10869565217391304"/>
          <c:w val="0.68872180451127818"/>
          <c:h val="0.79130434782608694"/>
        </c:manualLayout>
      </c:layout>
      <c:ofPieChart>
        <c:ofPieType val="bar"/>
        <c:varyColors val="1"/>
        <c:ser>
          <c:idx val="0"/>
          <c:order val="0"/>
          <c:tx>
            <c:strRef>
              <c:f>Sheet1!$A$2</c:f>
              <c:strCache>
                <c:ptCount val="1"/>
              </c:strCache>
            </c:strRef>
          </c:tx>
          <c:spPr>
            <a:solidFill>
              <a:schemeClr val="accent2">
                <a:lumMod val="60000"/>
                <a:lumOff val="40000"/>
              </a:schemeClr>
            </a:solidFill>
          </c:spPr>
          <c:dPt>
            <c:idx val="0"/>
            <c:bubble3D val="0"/>
            <c:spPr>
              <a:solidFill>
                <a:schemeClr val="accent2">
                  <a:lumMod val="60000"/>
                  <a:lumOff val="40000"/>
                </a:schemeClr>
              </a:solidFill>
              <a:ln>
                <a:noFill/>
              </a:ln>
              <a:effectLst>
                <a:outerShdw blurRad="57150" dist="19050" dir="5400000" algn="ctr" rotWithShape="0">
                  <a:srgbClr val="000000">
                    <a:alpha val="63000"/>
                  </a:srgbClr>
                </a:outerShdw>
              </a:effectLst>
            </c:spPr>
          </c:dPt>
          <c:dPt>
            <c:idx val="1"/>
            <c:bubble3D val="0"/>
            <c:spPr>
              <a:solidFill>
                <a:schemeClr val="accent2">
                  <a:lumMod val="60000"/>
                  <a:lumOff val="40000"/>
                </a:schemeClr>
              </a:solidFill>
              <a:ln>
                <a:noFill/>
              </a:ln>
              <a:effectLst>
                <a:outerShdw blurRad="57150" dist="19050" dir="5400000" algn="ctr" rotWithShape="0">
                  <a:srgbClr val="000000">
                    <a:alpha val="63000"/>
                  </a:srgbClr>
                </a:outerShdw>
              </a:effectLst>
            </c:spPr>
          </c:dPt>
          <c:dPt>
            <c:idx val="2"/>
            <c:bubble3D val="0"/>
            <c:spPr>
              <a:solidFill>
                <a:schemeClr val="accent2">
                  <a:lumMod val="60000"/>
                  <a:lumOff val="40000"/>
                </a:schemeClr>
              </a:solidFill>
              <a:ln>
                <a:noFill/>
              </a:ln>
              <a:effectLst>
                <a:outerShdw blurRad="57150" dist="19050" dir="5400000" algn="ctr" rotWithShape="0">
                  <a:srgbClr val="000000">
                    <a:alpha val="63000"/>
                  </a:srgbClr>
                </a:outerShdw>
              </a:effectLst>
            </c:spPr>
          </c:dPt>
          <c:dPt>
            <c:idx val="3"/>
            <c:bubble3D val="0"/>
            <c:spPr>
              <a:solidFill>
                <a:schemeClr val="accent2">
                  <a:lumMod val="60000"/>
                  <a:lumOff val="40000"/>
                </a:schemeClr>
              </a:solidFill>
              <a:ln>
                <a:noFill/>
              </a:ln>
              <a:effectLst>
                <a:outerShdw blurRad="57150" dist="19050" dir="5400000" algn="ctr" rotWithShape="0">
                  <a:srgbClr val="000000">
                    <a:alpha val="63000"/>
                  </a:srgbClr>
                </a:outerShdw>
              </a:effectLst>
            </c:spPr>
          </c:dPt>
          <c:dPt>
            <c:idx val="4"/>
            <c:bubble3D val="0"/>
            <c:spPr>
              <a:solidFill>
                <a:schemeClr val="accent2">
                  <a:lumMod val="60000"/>
                  <a:lumOff val="40000"/>
                </a:schemeClr>
              </a:solidFill>
              <a:ln>
                <a:noFill/>
              </a:ln>
              <a:effectLst>
                <a:outerShdw blurRad="57150" dist="19050" dir="5400000" algn="ctr" rotWithShape="0">
                  <a:srgbClr val="000000">
                    <a:alpha val="63000"/>
                  </a:srgbClr>
                </a:outerShdw>
              </a:effectLst>
            </c:spPr>
          </c:dPt>
          <c:dPt>
            <c:idx val="5"/>
            <c:bubble3D val="0"/>
            <c:spPr>
              <a:solidFill>
                <a:schemeClr val="accent2">
                  <a:lumMod val="60000"/>
                  <a:lumOff val="40000"/>
                </a:schemeClr>
              </a:solidFill>
              <a:ln>
                <a:noFill/>
              </a:ln>
              <a:effectLst>
                <a:outerShdw blurRad="57150" dist="19050" dir="5400000" algn="ctr" rotWithShape="0">
                  <a:srgbClr val="000000">
                    <a:alpha val="63000"/>
                  </a:srgbClr>
                </a:outerShdw>
              </a:effectLst>
            </c:spPr>
          </c:dPt>
          <c:dPt>
            <c:idx val="6"/>
            <c:bubble3D val="0"/>
            <c:spPr>
              <a:solidFill>
                <a:schemeClr val="accent2">
                  <a:lumMod val="60000"/>
                  <a:lumOff val="40000"/>
                </a:schemeClr>
              </a:solidFill>
              <a:ln>
                <a:noFill/>
              </a:ln>
              <a:effectLst>
                <a:outerShdw blurRad="57150" dist="19050" dir="5400000" algn="ctr" rotWithShape="0">
                  <a:srgbClr val="000000">
                    <a:alpha val="63000"/>
                  </a:srgbClr>
                </a:outerShdw>
              </a:effectLst>
            </c:spPr>
          </c:dPt>
          <c:dPt>
            <c:idx val="7"/>
            <c:bubble3D val="0"/>
            <c:spPr>
              <a:solidFill>
                <a:schemeClr val="accent2">
                  <a:lumMod val="60000"/>
                  <a:lumOff val="40000"/>
                </a:schemeClr>
              </a:solidFill>
              <a:ln>
                <a:noFill/>
              </a:ln>
              <a:effectLst>
                <a:outerShdw blurRad="57150" dist="19050" dir="5400000" algn="ctr" rotWithShape="0">
                  <a:srgbClr val="000000">
                    <a:alpha val="63000"/>
                  </a:srgbClr>
                </a:outerShdw>
              </a:effectLst>
            </c:spPr>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lt-LT"/>
              </a:p>
            </c:txPr>
            <c:dLblPos val="outEnd"/>
            <c:showLegendKey val="0"/>
            <c:showVal val="0"/>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Sheet1!$B$1:$H$1</c:f>
              <c:strCache>
                <c:ptCount val="7"/>
                <c:pt idx="0">
                  <c:v>Alf.Lipniūno</c:v>
                </c:pt>
                <c:pt idx="1">
                  <c:v>M.Karkos</c:v>
                </c:pt>
                <c:pt idx="2">
                  <c:v>,,Vilties"</c:v>
                </c:pt>
                <c:pt idx="3">
                  <c:v>Panevėžio raj.</c:v>
                </c:pt>
                <c:pt idx="4">
                  <c:v>,,Saulėtekio"</c:v>
                </c:pt>
                <c:pt idx="5">
                  <c:v>,,Šaltinio"</c:v>
                </c:pt>
                <c:pt idx="6">
                  <c:v>Pradinė</c:v>
                </c:pt>
              </c:strCache>
            </c:strRef>
          </c:cat>
          <c:val>
            <c:numRef>
              <c:f>Sheet1!$B$2:$H$2</c:f>
              <c:numCache>
                <c:formatCode>General</c:formatCode>
                <c:ptCount val="7"/>
                <c:pt idx="0">
                  <c:v>21</c:v>
                </c:pt>
                <c:pt idx="1">
                  <c:v>3</c:v>
                </c:pt>
                <c:pt idx="2">
                  <c:v>1</c:v>
                </c:pt>
                <c:pt idx="3">
                  <c:v>0</c:v>
                </c:pt>
                <c:pt idx="4">
                  <c:v>1</c:v>
                </c:pt>
                <c:pt idx="5">
                  <c:v>1</c:v>
                </c:pt>
                <c:pt idx="6">
                  <c:v>1</c:v>
                </c:pt>
              </c:numCache>
            </c:numRef>
          </c:val>
        </c:ser>
        <c:dLbls>
          <c:dLblPos val="outEnd"/>
          <c:showLegendKey val="0"/>
          <c:showVal val="0"/>
          <c:showCatName val="1"/>
          <c:showSerName val="0"/>
          <c:showPercent val="0"/>
          <c:showBubbleSize val="0"/>
          <c:showLeaderLines val="1"/>
        </c:dLbls>
        <c:gapWidth val="100"/>
        <c:secondPieSize val="75"/>
        <c:serLines>
          <c:spPr>
            <a:ln w="9525" cap="flat" cmpd="sng" algn="ctr">
              <a:solidFill>
                <a:schemeClr val="lt1">
                  <a:lumMod val="95000"/>
                  <a:alpha val="54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lt-LT"/>
        </a:p>
      </c:txPr>
    </c:legend>
    <c:plotVisOnly val="1"/>
    <c:dispBlanksAs val="zero"/>
    <c:showDLblsOverMax val="0"/>
  </c:chart>
  <c:spPr>
    <a:solidFill>
      <a:srgbClr val="00B0F0"/>
    </a:solidFill>
    <a:ln>
      <a:noFill/>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5181674565561E-2"/>
          <c:y val="5.8064516129032261E-2"/>
          <c:w val="0.92575039494470779"/>
          <c:h val="0.73225806451612907"/>
        </c:manualLayout>
      </c:layout>
      <c:barChart>
        <c:barDir val="bar"/>
        <c:grouping val="clustered"/>
        <c:varyColors val="0"/>
        <c:ser>
          <c:idx val="0"/>
          <c:order val="0"/>
          <c:tx>
            <c:strRef>
              <c:f>Sheet1!$A$2</c:f>
              <c:strCache>
                <c:ptCount val="1"/>
                <c:pt idx="0">
                  <c:v>East</c:v>
                </c:pt>
              </c:strCache>
            </c:strRef>
          </c:tx>
          <c:spPr>
            <a:solidFill>
              <a:schemeClr val="tx1">
                <a:lumMod val="50000"/>
                <a:lumOff val="50000"/>
              </a:schemeClr>
            </a:solidFill>
            <a:ln>
              <a:noFill/>
            </a:ln>
            <a:effectLst/>
          </c:spPr>
          <c:invertIfNegative val="0"/>
          <c:dLbls>
            <c:dLbl>
              <c:idx val="0"/>
              <c:layout>
                <c:manualLayout>
                  <c:x val="1.1568203418215822E-2"/>
                  <c:y val="-1.29732029464058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9313549128015599E-3"/>
                  <c:y val="-1.45020425874185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714727576423607E-3"/>
                  <c:y val="-7.609897553128464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2374367329367537E-3"/>
                  <c:y val="-7.506275929218514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098064189534339E-3"/>
                  <c:y val="-6.8972885445771626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9528997676031592E-3"/>
                  <c:y val="-6.185007620015281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9068330707580099E-3"/>
                  <c:y val="-1.226092202184406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7"/>
                <c:pt idx="0">
                  <c:v>ugdymo plėtotė ir naujienos</c:v>
                </c:pt>
                <c:pt idx="1">
                  <c:v>vaikų sveikatos stiprinimas</c:v>
                </c:pt>
                <c:pt idx="2">
                  <c:v>vadybiniai gebėjimai</c:v>
                </c:pt>
                <c:pt idx="3">
                  <c:v>pedagoginė patirtis</c:v>
                </c:pt>
                <c:pt idx="4">
                  <c:v>aplinkosauga</c:v>
                </c:pt>
                <c:pt idx="5">
                  <c:v>IKT</c:v>
                </c:pt>
                <c:pt idx="6">
                  <c:v>meninis ugdymas</c:v>
                </c:pt>
              </c:strCache>
            </c:strRef>
          </c:cat>
          <c:val>
            <c:numRef>
              <c:f>Sheet1!$B$2:$I$2</c:f>
              <c:numCache>
                <c:formatCode>General</c:formatCode>
                <c:ptCount val="7"/>
                <c:pt idx="0">
                  <c:v>20</c:v>
                </c:pt>
                <c:pt idx="1">
                  <c:v>17</c:v>
                </c:pt>
                <c:pt idx="2">
                  <c:v>4</c:v>
                </c:pt>
                <c:pt idx="3">
                  <c:v>24</c:v>
                </c:pt>
                <c:pt idx="4">
                  <c:v>9</c:v>
                </c:pt>
                <c:pt idx="5">
                  <c:v>9</c:v>
                </c:pt>
                <c:pt idx="6">
                  <c:v>18</c:v>
                </c:pt>
              </c:numCache>
            </c:numRef>
          </c:val>
        </c:ser>
        <c:dLbls>
          <c:showLegendKey val="0"/>
          <c:showVal val="1"/>
          <c:showCatName val="0"/>
          <c:showSerName val="0"/>
          <c:showPercent val="0"/>
          <c:showBubbleSize val="0"/>
        </c:dLbls>
        <c:gapWidth val="269"/>
        <c:axId val="362353168"/>
        <c:axId val="362354800"/>
      </c:barChart>
      <c:catAx>
        <c:axId val="362353168"/>
        <c:scaling>
          <c:orientation val="minMax"/>
        </c:scaling>
        <c:delete val="0"/>
        <c:axPos val="l"/>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cap="none" spc="0" normalizeH="0" baseline="0">
                <a:solidFill>
                  <a:sysClr val="windowText" lastClr="000000"/>
                </a:solidFill>
                <a:latin typeface="+mn-lt"/>
                <a:ea typeface="+mn-ea"/>
                <a:cs typeface="+mn-cs"/>
              </a:defRPr>
            </a:pPr>
            <a:endParaRPr lang="lt-LT"/>
          </a:p>
        </c:txPr>
        <c:crossAx val="362354800"/>
        <c:crosses val="autoZero"/>
        <c:auto val="1"/>
        <c:lblAlgn val="ctr"/>
        <c:lblOffset val="100"/>
        <c:noMultiLvlLbl val="0"/>
      </c:catAx>
      <c:valAx>
        <c:axId val="36235480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62353168"/>
        <c:crosses val="autoZero"/>
        <c:crossBetween val="between"/>
      </c:valAx>
      <c:spPr>
        <a:noFill/>
        <a:ln>
          <a:noFill/>
        </a:ln>
        <a:effectLst/>
      </c:spPr>
    </c:plotArea>
    <c:plotVisOnly val="1"/>
    <c:dispBlanksAs val="gap"/>
    <c:showDLblsOverMax val="0"/>
  </c:chart>
  <c:spPr>
    <a:solidFill>
      <a:srgbClr val="FFFF00"/>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Lapas1!$B$1</c:f>
              <c:strCache>
                <c:ptCount val="1"/>
                <c:pt idx="0">
                  <c:v>29,9</c:v>
                </c:pt>
              </c:strCache>
            </c:strRef>
          </c:tx>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Lapas1!$A$2:$A$7</c:f>
              <c:numCache>
                <c:formatCode>General</c:formatCode>
                <c:ptCount val="6"/>
                <c:pt idx="0">
                  <c:v>2011</c:v>
                </c:pt>
                <c:pt idx="1">
                  <c:v>2012</c:v>
                </c:pt>
                <c:pt idx="2">
                  <c:v>2013</c:v>
                </c:pt>
                <c:pt idx="3">
                  <c:v>2014</c:v>
                </c:pt>
                <c:pt idx="4">
                  <c:v>2015</c:v>
                </c:pt>
                <c:pt idx="5">
                  <c:v>2016</c:v>
                </c:pt>
              </c:numCache>
            </c:numRef>
          </c:cat>
          <c:val>
            <c:numRef>
              <c:f>Lapas1!$B$2:$B$7</c:f>
              <c:numCache>
                <c:formatCode>General</c:formatCode>
                <c:ptCount val="6"/>
                <c:pt idx="0">
                  <c:v>29.9</c:v>
                </c:pt>
                <c:pt idx="1">
                  <c:v>26.4</c:v>
                </c:pt>
                <c:pt idx="2">
                  <c:v>27.5</c:v>
                </c:pt>
                <c:pt idx="3">
                  <c:v>27.2</c:v>
                </c:pt>
                <c:pt idx="4">
                  <c:v>29.08</c:v>
                </c:pt>
                <c:pt idx="5">
                  <c:v>31.06</c:v>
                </c:pt>
              </c:numCache>
            </c:numRef>
          </c:val>
        </c:ser>
        <c:dLbls>
          <c:dLblPos val="inEnd"/>
          <c:showLegendKey val="0"/>
          <c:showVal val="1"/>
          <c:showCatName val="0"/>
          <c:showSerName val="0"/>
          <c:showPercent val="0"/>
          <c:showBubbleSize val="0"/>
        </c:dLbls>
        <c:gapWidth val="65"/>
        <c:axId val="362363504"/>
        <c:axId val="362357520"/>
      </c:barChart>
      <c:catAx>
        <c:axId val="3623635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62357520"/>
        <c:crosses val="autoZero"/>
        <c:auto val="1"/>
        <c:lblAlgn val="ctr"/>
        <c:lblOffset val="100"/>
        <c:noMultiLvlLbl val="0"/>
      </c:catAx>
      <c:valAx>
        <c:axId val="36235752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362363504"/>
        <c:crosses val="autoZero"/>
        <c:crossBetween val="between"/>
      </c:valAx>
      <c:spPr>
        <a:solidFill>
          <a:srgbClr val="FFFF00"/>
        </a:solid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3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F7176E-0A2A-4487-8413-1538C2B9C323}" type="doc">
      <dgm:prSet loTypeId="urn:microsoft.com/office/officeart/2008/layout/HalfCircleOrganizationChart" loCatId="hierarchy" qsTypeId="urn:microsoft.com/office/officeart/2005/8/quickstyle/simple1" qsCatId="simple" csTypeId="urn:microsoft.com/office/officeart/2005/8/colors/accent3_3" csCatId="accent3" phldr="1"/>
      <dgm:spPr/>
    </dgm:pt>
    <dgm:pt modelId="{4AAFCEE1-D51D-453A-89BF-28E848E5C2C9}">
      <dgm:prSet custT="1"/>
      <dgm:spPr>
        <a:xfrm>
          <a:off x="1935565" y="87837"/>
          <a:ext cx="2367743" cy="311029"/>
        </a:xfrm>
        <a:noFill/>
        <a:ln w="12700" cap="flat" cmpd="sng" algn="ctr">
          <a:noFill/>
          <a:prstDash val="solid"/>
          <a:miter lim="800000"/>
        </a:ln>
        <a:effectLst/>
        <a:sp3d/>
      </dgm:spPr>
      <dgm:t>
        <a:bodyPr/>
        <a:lstStyle/>
        <a:p>
          <a:pPr marR="0" algn="ctr" rtl="0"/>
          <a:r>
            <a:rPr lang="lt-LT" sz="12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GRUPIŲ MODELIAI</a:t>
          </a:r>
        </a:p>
        <a:p>
          <a:pPr marR="0" algn="ctr" rtl="0"/>
          <a:r>
            <a:rPr lang="lt-LT" sz="12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2016 m.</a:t>
          </a:r>
          <a:endParaRPr lang="lt-LT" sz="1200" smtClean="0">
            <a:solidFill>
              <a:sysClr val="windowText" lastClr="000000">
                <a:hueOff val="0"/>
                <a:satOff val="0"/>
                <a:lumOff val="0"/>
                <a:alphaOff val="0"/>
              </a:sysClr>
            </a:solidFill>
            <a:latin typeface="Calibri" panose="020F0502020204030204"/>
            <a:ea typeface="+mn-ea"/>
            <a:cs typeface="+mn-cs"/>
          </a:endParaRPr>
        </a:p>
      </dgm:t>
    </dgm:pt>
    <dgm:pt modelId="{6E6A3850-BC21-4434-A871-FC883B5210DA}" type="parTrans" cxnId="{080BDFDD-1CFD-4F76-B4EC-042EBAE2881F}">
      <dgm:prSet/>
      <dgm:spPr/>
      <dgm:t>
        <a:bodyPr/>
        <a:lstStyle/>
        <a:p>
          <a:endParaRPr lang="lt-LT"/>
        </a:p>
      </dgm:t>
    </dgm:pt>
    <dgm:pt modelId="{AE4C7781-1F80-4CC8-9414-240EB239FFE7}" type="sibTrans" cxnId="{080BDFDD-1CFD-4F76-B4EC-042EBAE2881F}">
      <dgm:prSet/>
      <dgm:spPr/>
      <dgm:t>
        <a:bodyPr/>
        <a:lstStyle/>
        <a:p>
          <a:endParaRPr lang="lt-LT"/>
        </a:p>
      </dgm:t>
    </dgm:pt>
    <dgm:pt modelId="{A53A95D2-0F1E-4A20-977E-A16856EE9DFA}">
      <dgm:prSet custT="1"/>
      <dgm:spPr>
        <a:xfrm>
          <a:off x="1435502" y="777935"/>
          <a:ext cx="971968" cy="311029"/>
        </a:xfrm>
        <a:noFill/>
        <a:ln w="12700" cap="flat" cmpd="sng" algn="ctr">
          <a:noFill/>
          <a:prstDash val="solid"/>
          <a:miter lim="800000"/>
        </a:ln>
        <a:effectLst/>
        <a:sp3d/>
      </dgm:spPr>
      <dgm:t>
        <a:bodyPr/>
        <a:lstStyle/>
        <a:p>
          <a:pPr marR="0" algn="ctr" rtl="0"/>
          <a:r>
            <a:rPr lang="lt-LT" sz="9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Ikimokyklinė jungtinė 1 grupė</a:t>
          </a:r>
          <a:endParaRPr lang="lt-LT" sz="900" b="1" i="0" u="none" strike="noStrike" baseline="0" smtClean="0">
            <a:solidFill>
              <a:sysClr val="windowText" lastClr="000000">
                <a:hueOff val="0"/>
                <a:satOff val="0"/>
                <a:lumOff val="0"/>
                <a:alphaOff val="0"/>
              </a:sysClr>
            </a:solidFill>
            <a:latin typeface="Times New Roman" panose="02020603050405020304" pitchFamily="18" charset="0"/>
            <a:ea typeface="+mn-ea"/>
            <a:cs typeface="+mn-cs"/>
          </a:endParaRPr>
        </a:p>
        <a:p>
          <a:pPr marR="0" algn="ctr" rtl="0"/>
          <a:r>
            <a:rPr lang="lt-LT" sz="9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 54 val. per savaitę, XIII modelis</a:t>
          </a:r>
        </a:p>
      </dgm:t>
    </dgm:pt>
    <dgm:pt modelId="{0C2A236B-FE96-4810-AACA-53A4E6BBA597}" type="parTrans" cxnId="{03E13878-3F11-48D3-80BF-A016957C7BD5}">
      <dgm:prSet/>
      <dgm:spPr>
        <a:xfrm>
          <a:off x="1921486" y="486344"/>
          <a:ext cx="1197950" cy="204113"/>
        </a:xfrm>
        <a:noFill/>
        <a:ln w="12700" cap="flat" cmpd="sng" algn="ctr">
          <a:solidFill>
            <a:srgbClr val="A5A5A5">
              <a:tint val="99000"/>
              <a:hueOff val="0"/>
              <a:satOff val="0"/>
              <a:lumOff val="0"/>
              <a:alphaOff val="0"/>
            </a:srgbClr>
          </a:solidFill>
          <a:prstDash val="solid"/>
          <a:miter lim="800000"/>
        </a:ln>
        <a:effectLst/>
      </dgm:spPr>
      <dgm:t>
        <a:bodyPr/>
        <a:lstStyle/>
        <a:p>
          <a:endParaRPr lang="lt-LT"/>
        </a:p>
      </dgm:t>
    </dgm:pt>
    <dgm:pt modelId="{286A3B41-8F1D-48DD-82C5-F8EA01C642B0}" type="sibTrans" cxnId="{03E13878-3F11-48D3-80BF-A016957C7BD5}">
      <dgm:prSet/>
      <dgm:spPr/>
      <dgm:t>
        <a:bodyPr/>
        <a:lstStyle/>
        <a:p>
          <a:endParaRPr lang="lt-LT"/>
        </a:p>
      </dgm:t>
    </dgm:pt>
    <dgm:pt modelId="{9532A62D-7673-40B3-9FED-499ABE3A6479}">
      <dgm:prSet custT="1"/>
      <dgm:spPr>
        <a:xfrm>
          <a:off x="2067281" y="1468032"/>
          <a:ext cx="971968" cy="311029"/>
        </a:xfrm>
        <a:noFill/>
        <a:ln w="12700" cap="flat" cmpd="sng" algn="ctr">
          <a:noFill/>
          <a:prstDash val="solid"/>
          <a:miter lim="800000"/>
        </a:ln>
        <a:effectLst/>
        <a:sp3d/>
      </dgm:spPr>
      <dgm:t>
        <a:bodyPr/>
        <a:lstStyle/>
        <a:p>
          <a:pPr marR="0" algn="ctr" rtl="0"/>
          <a:endParaRPr lang="lt-LT" sz="600" b="1" i="0" u="none" strike="noStrike" baseline="0" smtClean="0">
            <a:solidFill>
              <a:sysClr val="windowText" lastClr="000000">
                <a:hueOff val="0"/>
                <a:satOff val="0"/>
                <a:lumOff val="0"/>
                <a:alphaOff val="0"/>
              </a:sysClr>
            </a:solidFill>
            <a:latin typeface="Calibri" panose="020F0502020204030204" pitchFamily="34" charset="0"/>
            <a:ea typeface="+mn-ea"/>
            <a:cs typeface="+mn-cs"/>
          </a:endParaRPr>
        </a:p>
      </dgm:t>
    </dgm:pt>
    <dgm:pt modelId="{EE6AAAA0-29B8-4A0D-9579-4ADC786FE8D4}" type="parTrans" cxnId="{330CD91B-F75A-4818-944D-F84DFA5490C7}">
      <dgm:prSet/>
      <dgm:spPr>
        <a:xfrm>
          <a:off x="1921486" y="1176442"/>
          <a:ext cx="447105" cy="291590"/>
        </a:xfrm>
        <a:noFill/>
        <a:ln w="12700" cap="flat" cmpd="sng" algn="ctr">
          <a:solidFill>
            <a:srgbClr val="A5A5A5">
              <a:tint val="80000"/>
              <a:hueOff val="0"/>
              <a:satOff val="0"/>
              <a:lumOff val="0"/>
              <a:alphaOff val="0"/>
            </a:srgbClr>
          </a:solidFill>
          <a:prstDash val="solid"/>
          <a:miter lim="800000"/>
        </a:ln>
        <a:effectLst/>
      </dgm:spPr>
      <dgm:t>
        <a:bodyPr/>
        <a:lstStyle/>
        <a:p>
          <a:endParaRPr lang="lt-LT"/>
        </a:p>
      </dgm:t>
    </dgm:pt>
    <dgm:pt modelId="{07AA1ECB-26F6-4B20-999C-07A724E1E15C}" type="sibTrans" cxnId="{330CD91B-F75A-4818-944D-F84DFA5490C7}">
      <dgm:prSet/>
      <dgm:spPr/>
      <dgm:t>
        <a:bodyPr/>
        <a:lstStyle/>
        <a:p>
          <a:endParaRPr lang="lt-LT"/>
        </a:p>
      </dgm:t>
    </dgm:pt>
    <dgm:pt modelId="{B2568F83-9EFF-46A0-AE98-403DB784A2BB}">
      <dgm:prSet custT="1"/>
      <dgm:spPr>
        <a:xfrm>
          <a:off x="2611584" y="777935"/>
          <a:ext cx="971968" cy="311029"/>
        </a:xfrm>
        <a:noFill/>
        <a:ln w="12700" cap="flat" cmpd="sng" algn="ctr">
          <a:noFill/>
          <a:prstDash val="solid"/>
          <a:miter lim="800000"/>
        </a:ln>
        <a:effectLst/>
        <a:sp3d/>
      </dgm:spPr>
      <dgm:t>
        <a:bodyPr/>
        <a:lstStyle/>
        <a:p>
          <a:pPr marR="0" algn="ctr" rtl="0"/>
          <a:r>
            <a:rPr lang="lt-LT" sz="6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 </a:t>
          </a:r>
          <a:r>
            <a:rPr lang="lt-LT" sz="9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Priešmokyklinės  2 grupės</a:t>
          </a:r>
          <a:r>
            <a:rPr lang="lt-LT" sz="6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 </a:t>
          </a:r>
        </a:p>
        <a:p>
          <a:pPr marR="0" algn="ctr" rtl="0"/>
          <a:r>
            <a:rPr lang="lt-LT" sz="9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54 val. per savaitę, VII modelis</a:t>
          </a:r>
          <a:endParaRPr lang="lt-LT" sz="600" b="1" i="0" u="none" strike="noStrike" baseline="0" smtClean="0">
            <a:solidFill>
              <a:sysClr val="windowText" lastClr="000000">
                <a:hueOff val="0"/>
                <a:satOff val="0"/>
                <a:lumOff val="0"/>
                <a:alphaOff val="0"/>
              </a:sysClr>
            </a:solidFill>
            <a:latin typeface="Times New Roman" panose="02020603050405020304" pitchFamily="18" charset="0"/>
            <a:ea typeface="+mn-ea"/>
            <a:cs typeface="+mn-cs"/>
          </a:endParaRPr>
        </a:p>
      </dgm:t>
    </dgm:pt>
    <dgm:pt modelId="{B3EA3F9A-EF65-41D9-9E41-2A637B685B64}" type="parTrans" cxnId="{6A9A5742-27C2-419E-9957-744EDC2B5810}">
      <dgm:prSet/>
      <dgm:spPr>
        <a:xfrm>
          <a:off x="3051848" y="486344"/>
          <a:ext cx="91440" cy="204113"/>
        </a:xfrm>
        <a:noFill/>
        <a:ln w="12700" cap="flat" cmpd="sng" algn="ctr">
          <a:solidFill>
            <a:srgbClr val="A5A5A5">
              <a:tint val="99000"/>
              <a:hueOff val="0"/>
              <a:satOff val="0"/>
              <a:lumOff val="0"/>
              <a:alphaOff val="0"/>
            </a:srgbClr>
          </a:solidFill>
          <a:prstDash val="solid"/>
          <a:miter lim="800000"/>
        </a:ln>
        <a:effectLst/>
      </dgm:spPr>
      <dgm:t>
        <a:bodyPr/>
        <a:lstStyle/>
        <a:p>
          <a:endParaRPr lang="lt-LT"/>
        </a:p>
      </dgm:t>
    </dgm:pt>
    <dgm:pt modelId="{7999FB14-9754-4476-B6CD-D76A0B56315F}" type="sibTrans" cxnId="{6A9A5742-27C2-419E-9957-744EDC2B5810}">
      <dgm:prSet/>
      <dgm:spPr/>
      <dgm:t>
        <a:bodyPr/>
        <a:lstStyle/>
        <a:p>
          <a:endParaRPr lang="lt-LT"/>
        </a:p>
      </dgm:t>
    </dgm:pt>
    <dgm:pt modelId="{9245BC44-FA08-46A3-8A51-A8AF4FB18112}">
      <dgm:prSet custT="1"/>
      <dgm:spPr>
        <a:xfrm>
          <a:off x="3831404" y="777935"/>
          <a:ext cx="971968" cy="311029"/>
        </a:xfrm>
        <a:noFill/>
        <a:ln w="12700" cap="flat" cmpd="sng" algn="ctr">
          <a:noFill/>
          <a:prstDash val="solid"/>
          <a:miter lim="800000"/>
        </a:ln>
        <a:effectLst/>
        <a:sp3d/>
      </dgm:spPr>
      <dgm:t>
        <a:bodyPr/>
        <a:lstStyle/>
        <a:p>
          <a:pPr marR="0" algn="ctr" rtl="0"/>
          <a:r>
            <a:rPr lang="lt-LT" sz="9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Ikimokyklinės darželio 3 grupės:</a:t>
          </a:r>
          <a:endParaRPr lang="lt-LT" sz="900" b="1" i="0" u="none" strike="noStrike" baseline="0" smtClean="0">
            <a:solidFill>
              <a:sysClr val="windowText" lastClr="000000">
                <a:hueOff val="0"/>
                <a:satOff val="0"/>
                <a:lumOff val="0"/>
                <a:alphaOff val="0"/>
              </a:sysClr>
            </a:solidFill>
            <a:latin typeface="Times New Roman" panose="02020603050405020304" pitchFamily="18" charset="0"/>
            <a:ea typeface="+mn-ea"/>
            <a:cs typeface="+mn-cs"/>
          </a:endParaRPr>
        </a:p>
        <a:p>
          <a:pPr marR="0" algn="ctr" rtl="0"/>
          <a:r>
            <a:rPr lang="lt-LT" sz="9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54 val. per savaitę, VII modelis</a:t>
          </a:r>
          <a:endParaRPr lang="lt-LT" sz="900" smtClean="0">
            <a:solidFill>
              <a:sysClr val="windowText" lastClr="000000">
                <a:hueOff val="0"/>
                <a:satOff val="0"/>
                <a:lumOff val="0"/>
                <a:alphaOff val="0"/>
              </a:sysClr>
            </a:solidFill>
            <a:latin typeface="Calibri" panose="020F0502020204030204"/>
            <a:ea typeface="+mn-ea"/>
            <a:cs typeface="+mn-cs"/>
          </a:endParaRPr>
        </a:p>
      </dgm:t>
    </dgm:pt>
    <dgm:pt modelId="{CF26F2A6-55C1-4B11-9C99-52D75CA95C9D}" type="parTrans" cxnId="{87EECCA4-F7B2-451B-8811-80A33994B3EE}">
      <dgm:prSet/>
      <dgm:spPr>
        <a:xfrm>
          <a:off x="3119437" y="486344"/>
          <a:ext cx="1197950" cy="204113"/>
        </a:xfrm>
        <a:noFill/>
        <a:ln w="12700" cap="flat" cmpd="sng" algn="ctr">
          <a:solidFill>
            <a:srgbClr val="A5A5A5">
              <a:tint val="99000"/>
              <a:hueOff val="0"/>
              <a:satOff val="0"/>
              <a:lumOff val="0"/>
              <a:alphaOff val="0"/>
            </a:srgbClr>
          </a:solidFill>
          <a:prstDash val="solid"/>
          <a:miter lim="800000"/>
        </a:ln>
        <a:effectLst/>
      </dgm:spPr>
      <dgm:t>
        <a:bodyPr/>
        <a:lstStyle/>
        <a:p>
          <a:endParaRPr lang="lt-LT"/>
        </a:p>
      </dgm:t>
    </dgm:pt>
    <dgm:pt modelId="{B5FB4A32-66E1-4462-A5BE-A47C051D1F2C}" type="sibTrans" cxnId="{87EECCA4-F7B2-451B-8811-80A33994B3EE}">
      <dgm:prSet/>
      <dgm:spPr/>
      <dgm:t>
        <a:bodyPr/>
        <a:lstStyle/>
        <a:p>
          <a:endParaRPr lang="lt-LT"/>
        </a:p>
      </dgm:t>
    </dgm:pt>
    <dgm:pt modelId="{0B567098-9F35-488B-898F-E5F3F291907F}" type="asst">
      <dgm:prSet custT="1"/>
      <dgm:spPr>
        <a:xfrm>
          <a:off x="3243363" y="1468032"/>
          <a:ext cx="971968" cy="311029"/>
        </a:xfrm>
        <a:noFill/>
        <a:ln w="12700" cap="flat" cmpd="sng" algn="ctr">
          <a:noFill/>
          <a:prstDash val="solid"/>
          <a:miter lim="800000"/>
        </a:ln>
        <a:effectLst/>
        <a:sp3d/>
      </dgm:spPr>
      <dgm:t>
        <a:bodyPr/>
        <a:lstStyle/>
        <a:p>
          <a:pPr marR="0" algn="ctr" rtl="0"/>
          <a:r>
            <a:rPr lang="lt-LT" sz="9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Lopšelio 3 grupės:</a:t>
          </a:r>
          <a:endParaRPr lang="lt-LT" sz="900" b="1" i="0" u="none" strike="noStrike" baseline="0" smtClean="0">
            <a:solidFill>
              <a:sysClr val="windowText" lastClr="000000">
                <a:hueOff val="0"/>
                <a:satOff val="0"/>
                <a:lumOff val="0"/>
                <a:alphaOff val="0"/>
              </a:sysClr>
            </a:solidFill>
            <a:latin typeface="Times New Roman" panose="02020603050405020304" pitchFamily="18" charset="0"/>
            <a:ea typeface="+mn-ea"/>
            <a:cs typeface="+mn-cs"/>
          </a:endParaRPr>
        </a:p>
        <a:p>
          <a:pPr marR="0" algn="ctr" rtl="0"/>
          <a:r>
            <a:rPr lang="lt-LT" sz="900" b="1" i="0" u="none" strike="noStrike" baseline="0" smtClean="0">
              <a:solidFill>
                <a:sysClr val="windowText" lastClr="000000">
                  <a:hueOff val="0"/>
                  <a:satOff val="0"/>
                  <a:lumOff val="0"/>
                  <a:alphaOff val="0"/>
                </a:sysClr>
              </a:solidFill>
              <a:latin typeface="Calibri" panose="020F0502020204030204" pitchFamily="34" charset="0"/>
              <a:ea typeface="+mn-ea"/>
              <a:cs typeface="+mn-cs"/>
            </a:rPr>
            <a:t>54 val. per savaitę, VII modelis </a:t>
          </a:r>
        </a:p>
        <a:p>
          <a:pPr marR="0" algn="ctr" rtl="0"/>
          <a:endParaRPr lang="lt-LT" sz="600" b="0" i="0" u="none" strike="noStrike" baseline="0" smtClean="0">
            <a:solidFill>
              <a:sysClr val="windowText" lastClr="000000">
                <a:hueOff val="0"/>
                <a:satOff val="0"/>
                <a:lumOff val="0"/>
                <a:alphaOff val="0"/>
              </a:sysClr>
            </a:solidFill>
            <a:latin typeface="Times New Roman" panose="02020603050405020304" pitchFamily="18" charset="0"/>
            <a:ea typeface="+mn-ea"/>
            <a:cs typeface="+mn-cs"/>
          </a:endParaRPr>
        </a:p>
      </dgm:t>
    </dgm:pt>
    <dgm:pt modelId="{84E6CF6F-77EB-426D-B312-F50E4FE62A10}" type="parTrans" cxnId="{67E26A01-BE4D-4C2C-9FDE-2DA505F8A646}">
      <dgm:prSet/>
      <dgm:spPr>
        <a:xfrm>
          <a:off x="3914021" y="1176442"/>
          <a:ext cx="403366" cy="291590"/>
        </a:xfrm>
        <a:noFill/>
        <a:ln w="12700" cap="flat" cmpd="sng" algn="ctr">
          <a:solidFill>
            <a:srgbClr val="A5A5A5">
              <a:tint val="80000"/>
              <a:hueOff val="0"/>
              <a:satOff val="0"/>
              <a:lumOff val="0"/>
              <a:alphaOff val="0"/>
            </a:srgbClr>
          </a:solidFill>
          <a:prstDash val="solid"/>
          <a:miter lim="800000"/>
        </a:ln>
        <a:effectLst/>
      </dgm:spPr>
      <dgm:t>
        <a:bodyPr/>
        <a:lstStyle/>
        <a:p>
          <a:endParaRPr lang="lt-LT"/>
        </a:p>
      </dgm:t>
    </dgm:pt>
    <dgm:pt modelId="{80453FF3-9CBA-4F76-A718-FEB37A3BE171}" type="sibTrans" cxnId="{67E26A01-BE4D-4C2C-9FDE-2DA505F8A646}">
      <dgm:prSet/>
      <dgm:spPr/>
      <dgm:t>
        <a:bodyPr/>
        <a:lstStyle/>
        <a:p>
          <a:endParaRPr lang="lt-LT"/>
        </a:p>
      </dgm:t>
    </dgm:pt>
    <dgm:pt modelId="{5E93FEBB-35BE-4DFE-9808-8B99CA868AA6}" type="pres">
      <dgm:prSet presAssocID="{E7F7176E-0A2A-4487-8413-1538C2B9C323}" presName="Name0" presStyleCnt="0">
        <dgm:presLayoutVars>
          <dgm:orgChart val="1"/>
          <dgm:chPref val="1"/>
          <dgm:dir/>
          <dgm:animOne val="branch"/>
          <dgm:animLvl val="lvl"/>
          <dgm:resizeHandles/>
        </dgm:presLayoutVars>
      </dgm:prSet>
      <dgm:spPr/>
    </dgm:pt>
    <dgm:pt modelId="{835345B4-2726-4174-8280-8560EE850531}" type="pres">
      <dgm:prSet presAssocID="{4AAFCEE1-D51D-453A-89BF-28E848E5C2C9}" presName="hierRoot1" presStyleCnt="0">
        <dgm:presLayoutVars>
          <dgm:hierBranch val="init"/>
        </dgm:presLayoutVars>
      </dgm:prSet>
      <dgm:spPr/>
    </dgm:pt>
    <dgm:pt modelId="{627F8CE1-8155-4FE7-9E23-BF7848D39D1F}" type="pres">
      <dgm:prSet presAssocID="{4AAFCEE1-D51D-453A-89BF-28E848E5C2C9}" presName="rootComposite1" presStyleCnt="0"/>
      <dgm:spPr/>
    </dgm:pt>
    <dgm:pt modelId="{86E4BF53-D612-4097-9FFA-E7C020464B60}" type="pres">
      <dgm:prSet presAssocID="{4AAFCEE1-D51D-453A-89BF-28E848E5C2C9}" presName="rootText1" presStyleLbl="alignAcc1" presStyleIdx="0" presStyleCnt="0" custScaleX="243603">
        <dgm:presLayoutVars>
          <dgm:chPref val="3"/>
        </dgm:presLayoutVars>
      </dgm:prSet>
      <dgm:spPr>
        <a:prstGeom prst="rect">
          <a:avLst/>
        </a:prstGeom>
      </dgm:spPr>
      <dgm:t>
        <a:bodyPr/>
        <a:lstStyle/>
        <a:p>
          <a:endParaRPr lang="lt-LT"/>
        </a:p>
      </dgm:t>
    </dgm:pt>
    <dgm:pt modelId="{3C0A937A-8096-4A2F-9C3A-85DE1132F9E8}" type="pres">
      <dgm:prSet presAssocID="{4AAFCEE1-D51D-453A-89BF-28E848E5C2C9}" presName="topArc1" presStyleLbl="parChTrans1D1" presStyleIdx="0" presStyleCnt="12"/>
      <dgm:spPr>
        <a:xfrm>
          <a:off x="2527501" y="360"/>
          <a:ext cx="1183871"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gm:spPr>
    </dgm:pt>
    <dgm:pt modelId="{8D9DBC3C-F7A5-4898-841F-CF69ADAE9648}" type="pres">
      <dgm:prSet presAssocID="{4AAFCEE1-D51D-453A-89BF-28E848E5C2C9}" presName="bottomArc1" presStyleLbl="parChTrans1D1" presStyleIdx="1" presStyleCnt="12"/>
      <dgm:spPr>
        <a:xfrm>
          <a:off x="2527501" y="360"/>
          <a:ext cx="1183871"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gm:spPr>
    </dgm:pt>
    <dgm:pt modelId="{0B60F4A9-8DC4-44B6-957F-97A4F79AD347}" type="pres">
      <dgm:prSet presAssocID="{4AAFCEE1-D51D-453A-89BF-28E848E5C2C9}" presName="topConnNode1" presStyleLbl="node1" presStyleIdx="0" presStyleCnt="0"/>
      <dgm:spPr/>
      <dgm:t>
        <a:bodyPr/>
        <a:lstStyle/>
        <a:p>
          <a:endParaRPr lang="lt-LT"/>
        </a:p>
      </dgm:t>
    </dgm:pt>
    <dgm:pt modelId="{193D7566-CE52-45D2-A45F-E7B5E778E8DD}" type="pres">
      <dgm:prSet presAssocID="{4AAFCEE1-D51D-453A-89BF-28E848E5C2C9}" presName="hierChild2" presStyleCnt="0"/>
      <dgm:spPr/>
    </dgm:pt>
    <dgm:pt modelId="{7BDA5246-9784-41DC-A869-1FFBF42397F1}" type="pres">
      <dgm:prSet presAssocID="{0C2A236B-FE96-4810-AACA-53A4E6BBA597}" presName="Name28" presStyleLbl="parChTrans1D2" presStyleIdx="0" presStyleCnt="3"/>
      <dgm:spPr>
        <a:custGeom>
          <a:avLst/>
          <a:gdLst/>
          <a:ahLst/>
          <a:cxnLst/>
          <a:rect l="0" t="0" r="0" b="0"/>
          <a:pathLst>
            <a:path>
              <a:moveTo>
                <a:pt x="1197950" y="0"/>
              </a:moveTo>
              <a:lnTo>
                <a:pt x="1197950" y="102056"/>
              </a:lnTo>
              <a:lnTo>
                <a:pt x="0" y="102056"/>
              </a:lnTo>
              <a:lnTo>
                <a:pt x="0" y="204113"/>
              </a:lnTo>
            </a:path>
          </a:pathLst>
        </a:custGeom>
      </dgm:spPr>
      <dgm:t>
        <a:bodyPr/>
        <a:lstStyle/>
        <a:p>
          <a:endParaRPr lang="lt-LT"/>
        </a:p>
      </dgm:t>
    </dgm:pt>
    <dgm:pt modelId="{C5C31397-7E4F-433A-8574-9A2E7A463034}" type="pres">
      <dgm:prSet presAssocID="{A53A95D2-0F1E-4A20-977E-A16856EE9DFA}" presName="hierRoot2" presStyleCnt="0">
        <dgm:presLayoutVars>
          <dgm:hierBranch val="init"/>
        </dgm:presLayoutVars>
      </dgm:prSet>
      <dgm:spPr/>
    </dgm:pt>
    <dgm:pt modelId="{55EE3201-1D91-45FF-A938-9E9EEFA59E24}" type="pres">
      <dgm:prSet presAssocID="{A53A95D2-0F1E-4A20-977E-A16856EE9DFA}" presName="rootComposite2" presStyleCnt="0"/>
      <dgm:spPr/>
    </dgm:pt>
    <dgm:pt modelId="{943397FA-B2CF-4890-83ED-5E49410F729B}" type="pres">
      <dgm:prSet presAssocID="{A53A95D2-0F1E-4A20-977E-A16856EE9DFA}" presName="rootText2" presStyleLbl="alignAcc1" presStyleIdx="0" presStyleCnt="0">
        <dgm:presLayoutVars>
          <dgm:chPref val="3"/>
        </dgm:presLayoutVars>
      </dgm:prSet>
      <dgm:spPr>
        <a:prstGeom prst="rect">
          <a:avLst/>
        </a:prstGeom>
      </dgm:spPr>
      <dgm:t>
        <a:bodyPr/>
        <a:lstStyle/>
        <a:p>
          <a:endParaRPr lang="lt-LT"/>
        </a:p>
      </dgm:t>
    </dgm:pt>
    <dgm:pt modelId="{70A40D1D-7A1D-44D7-8355-E7E94FEE6583}" type="pres">
      <dgm:prSet presAssocID="{A53A95D2-0F1E-4A20-977E-A16856EE9DFA}" presName="topArc2" presStyleLbl="parChTrans1D1" presStyleIdx="2" presStyleCnt="12"/>
      <dgm:spPr>
        <a:xfrm>
          <a:off x="1678494" y="690457"/>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gm:spPr>
    </dgm:pt>
    <dgm:pt modelId="{D209C4B1-1544-4D35-996E-9B81EA070E08}" type="pres">
      <dgm:prSet presAssocID="{A53A95D2-0F1E-4A20-977E-A16856EE9DFA}" presName="bottomArc2" presStyleLbl="parChTrans1D1" presStyleIdx="3" presStyleCnt="12"/>
      <dgm:spPr>
        <a:xfrm>
          <a:off x="1678494" y="690457"/>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gm:spPr>
    </dgm:pt>
    <dgm:pt modelId="{DCBE7951-6824-4EA2-A685-BDF294B85F26}" type="pres">
      <dgm:prSet presAssocID="{A53A95D2-0F1E-4A20-977E-A16856EE9DFA}" presName="topConnNode2" presStyleLbl="node2" presStyleIdx="0" presStyleCnt="0"/>
      <dgm:spPr/>
      <dgm:t>
        <a:bodyPr/>
        <a:lstStyle/>
        <a:p>
          <a:endParaRPr lang="lt-LT"/>
        </a:p>
      </dgm:t>
    </dgm:pt>
    <dgm:pt modelId="{9A407D9E-E1A4-4CF7-9867-4FC7CD3656EC}" type="pres">
      <dgm:prSet presAssocID="{A53A95D2-0F1E-4A20-977E-A16856EE9DFA}" presName="hierChild4" presStyleCnt="0"/>
      <dgm:spPr/>
    </dgm:pt>
    <dgm:pt modelId="{9BD180F5-6CF0-4000-BC65-82FF2D0C7284}" type="pres">
      <dgm:prSet presAssocID="{EE6AAAA0-29B8-4A0D-9579-4ADC786FE8D4}" presName="Name28" presStyleLbl="parChTrans1D3" presStyleIdx="0" presStyleCnt="2"/>
      <dgm:spPr>
        <a:custGeom>
          <a:avLst/>
          <a:gdLst/>
          <a:ahLst/>
          <a:cxnLst/>
          <a:rect l="0" t="0" r="0" b="0"/>
          <a:pathLst>
            <a:path>
              <a:moveTo>
                <a:pt x="0" y="0"/>
              </a:moveTo>
              <a:lnTo>
                <a:pt x="0" y="291590"/>
              </a:lnTo>
              <a:lnTo>
                <a:pt x="447105" y="291590"/>
              </a:lnTo>
            </a:path>
          </a:pathLst>
        </a:custGeom>
      </dgm:spPr>
      <dgm:t>
        <a:bodyPr/>
        <a:lstStyle/>
        <a:p>
          <a:endParaRPr lang="lt-LT"/>
        </a:p>
      </dgm:t>
    </dgm:pt>
    <dgm:pt modelId="{3FA03B2A-AAC0-4450-9724-41E669E07901}" type="pres">
      <dgm:prSet presAssocID="{9532A62D-7673-40B3-9FED-499ABE3A6479}" presName="hierRoot2" presStyleCnt="0">
        <dgm:presLayoutVars>
          <dgm:hierBranch val="init"/>
        </dgm:presLayoutVars>
      </dgm:prSet>
      <dgm:spPr/>
    </dgm:pt>
    <dgm:pt modelId="{B02A25FF-4AF3-4246-BAE5-FBB943DA7BFE}" type="pres">
      <dgm:prSet presAssocID="{9532A62D-7673-40B3-9FED-499ABE3A6479}" presName="rootComposite2" presStyleCnt="0"/>
      <dgm:spPr/>
    </dgm:pt>
    <dgm:pt modelId="{6E3C1262-115B-46C5-AF9C-FF4D55D20C3A}" type="pres">
      <dgm:prSet presAssocID="{9532A62D-7673-40B3-9FED-499ABE3A6479}" presName="rootText2" presStyleLbl="alignAcc1" presStyleIdx="0" presStyleCnt="0">
        <dgm:presLayoutVars>
          <dgm:chPref val="3"/>
        </dgm:presLayoutVars>
      </dgm:prSet>
      <dgm:spPr>
        <a:prstGeom prst="rect">
          <a:avLst/>
        </a:prstGeom>
      </dgm:spPr>
      <dgm:t>
        <a:bodyPr/>
        <a:lstStyle/>
        <a:p>
          <a:endParaRPr lang="lt-LT"/>
        </a:p>
      </dgm:t>
    </dgm:pt>
    <dgm:pt modelId="{90378080-DF94-409C-B301-E8A79B86AB35}" type="pres">
      <dgm:prSet presAssocID="{9532A62D-7673-40B3-9FED-499ABE3A6479}" presName="topArc2" presStyleLbl="parChTrans1D1" presStyleIdx="4" presStyleCnt="12"/>
      <dgm:spPr>
        <a:xfrm>
          <a:off x="2310273" y="1380555"/>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gm:spPr>
    </dgm:pt>
    <dgm:pt modelId="{0BC8FFDA-613C-434D-B3BA-EEB4770DD2A2}" type="pres">
      <dgm:prSet presAssocID="{9532A62D-7673-40B3-9FED-499ABE3A6479}" presName="bottomArc2" presStyleLbl="parChTrans1D1" presStyleIdx="5" presStyleCnt="12"/>
      <dgm:spPr>
        <a:xfrm>
          <a:off x="2310273" y="1380555"/>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gm:spPr>
    </dgm:pt>
    <dgm:pt modelId="{05B2EEBD-42DE-45CF-9811-DB1EA7BBED42}" type="pres">
      <dgm:prSet presAssocID="{9532A62D-7673-40B3-9FED-499ABE3A6479}" presName="topConnNode2" presStyleLbl="node3" presStyleIdx="0" presStyleCnt="0"/>
      <dgm:spPr/>
      <dgm:t>
        <a:bodyPr/>
        <a:lstStyle/>
        <a:p>
          <a:endParaRPr lang="lt-LT"/>
        </a:p>
      </dgm:t>
    </dgm:pt>
    <dgm:pt modelId="{FA957794-57E4-45FD-A1F6-012E287675DA}" type="pres">
      <dgm:prSet presAssocID="{9532A62D-7673-40B3-9FED-499ABE3A6479}" presName="hierChild4" presStyleCnt="0"/>
      <dgm:spPr/>
    </dgm:pt>
    <dgm:pt modelId="{EE1EF3CA-5292-4B80-95AE-AA6E1BF2B407}" type="pres">
      <dgm:prSet presAssocID="{9532A62D-7673-40B3-9FED-499ABE3A6479}" presName="hierChild5" presStyleCnt="0"/>
      <dgm:spPr/>
    </dgm:pt>
    <dgm:pt modelId="{8D31E993-E77B-4FAE-A287-047228A2DDFA}" type="pres">
      <dgm:prSet presAssocID="{A53A95D2-0F1E-4A20-977E-A16856EE9DFA}" presName="hierChild5" presStyleCnt="0"/>
      <dgm:spPr/>
    </dgm:pt>
    <dgm:pt modelId="{8333E42B-160C-4F54-9842-51812ECDD394}" type="pres">
      <dgm:prSet presAssocID="{B3EA3F9A-EF65-41D9-9E41-2A637B685B64}" presName="Name28" presStyleLbl="parChTrans1D2" presStyleIdx="1" presStyleCnt="3"/>
      <dgm:spPr>
        <a:custGeom>
          <a:avLst/>
          <a:gdLst/>
          <a:ahLst/>
          <a:cxnLst/>
          <a:rect l="0" t="0" r="0" b="0"/>
          <a:pathLst>
            <a:path>
              <a:moveTo>
                <a:pt x="67589" y="0"/>
              </a:moveTo>
              <a:lnTo>
                <a:pt x="67589" y="102056"/>
              </a:lnTo>
              <a:lnTo>
                <a:pt x="45720" y="102056"/>
              </a:lnTo>
              <a:lnTo>
                <a:pt x="45720" y="204113"/>
              </a:lnTo>
            </a:path>
          </a:pathLst>
        </a:custGeom>
      </dgm:spPr>
      <dgm:t>
        <a:bodyPr/>
        <a:lstStyle/>
        <a:p>
          <a:endParaRPr lang="lt-LT"/>
        </a:p>
      </dgm:t>
    </dgm:pt>
    <dgm:pt modelId="{D6DCD32C-070C-40B4-B5B3-13B485589DFC}" type="pres">
      <dgm:prSet presAssocID="{B2568F83-9EFF-46A0-AE98-403DB784A2BB}" presName="hierRoot2" presStyleCnt="0">
        <dgm:presLayoutVars>
          <dgm:hierBranch val="init"/>
        </dgm:presLayoutVars>
      </dgm:prSet>
      <dgm:spPr/>
    </dgm:pt>
    <dgm:pt modelId="{E1DD69C7-2A3A-4EA3-94E2-34BC8395F81E}" type="pres">
      <dgm:prSet presAssocID="{B2568F83-9EFF-46A0-AE98-403DB784A2BB}" presName="rootComposite2" presStyleCnt="0"/>
      <dgm:spPr/>
    </dgm:pt>
    <dgm:pt modelId="{C3392F91-0EA2-4584-B0F3-463A9DC79073}" type="pres">
      <dgm:prSet presAssocID="{B2568F83-9EFF-46A0-AE98-403DB784A2BB}" presName="rootText2" presStyleLbl="alignAcc1" presStyleIdx="0" presStyleCnt="0">
        <dgm:presLayoutVars>
          <dgm:chPref val="3"/>
        </dgm:presLayoutVars>
      </dgm:prSet>
      <dgm:spPr>
        <a:prstGeom prst="rect">
          <a:avLst/>
        </a:prstGeom>
      </dgm:spPr>
      <dgm:t>
        <a:bodyPr/>
        <a:lstStyle/>
        <a:p>
          <a:endParaRPr lang="lt-LT"/>
        </a:p>
      </dgm:t>
    </dgm:pt>
    <dgm:pt modelId="{73BBBA3D-0131-4D3C-A61E-5C63258CE5D7}" type="pres">
      <dgm:prSet presAssocID="{B2568F83-9EFF-46A0-AE98-403DB784A2BB}" presName="topArc2" presStyleLbl="parChTrans1D1" presStyleIdx="6" presStyleCnt="12"/>
      <dgm:spPr>
        <a:xfrm>
          <a:off x="2854576" y="690457"/>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gm:spPr>
    </dgm:pt>
    <dgm:pt modelId="{6FB3044B-18CA-4962-8A9C-EE202E589CE7}" type="pres">
      <dgm:prSet presAssocID="{B2568F83-9EFF-46A0-AE98-403DB784A2BB}" presName="bottomArc2" presStyleLbl="parChTrans1D1" presStyleIdx="7" presStyleCnt="12"/>
      <dgm:spPr>
        <a:xfrm>
          <a:off x="2854576" y="690457"/>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gm:spPr>
    </dgm:pt>
    <dgm:pt modelId="{9123AE40-FF17-408B-8A20-9B0F8E7FBA07}" type="pres">
      <dgm:prSet presAssocID="{B2568F83-9EFF-46A0-AE98-403DB784A2BB}" presName="topConnNode2" presStyleLbl="node2" presStyleIdx="0" presStyleCnt="0"/>
      <dgm:spPr/>
      <dgm:t>
        <a:bodyPr/>
        <a:lstStyle/>
        <a:p>
          <a:endParaRPr lang="lt-LT"/>
        </a:p>
      </dgm:t>
    </dgm:pt>
    <dgm:pt modelId="{A0988DE3-3910-43E6-BA68-FC7BC4B64694}" type="pres">
      <dgm:prSet presAssocID="{B2568F83-9EFF-46A0-AE98-403DB784A2BB}" presName="hierChild4" presStyleCnt="0"/>
      <dgm:spPr/>
    </dgm:pt>
    <dgm:pt modelId="{BB56B351-E377-413B-9D52-284879B246FE}" type="pres">
      <dgm:prSet presAssocID="{B2568F83-9EFF-46A0-AE98-403DB784A2BB}" presName="hierChild5" presStyleCnt="0"/>
      <dgm:spPr/>
    </dgm:pt>
    <dgm:pt modelId="{54809956-A006-429E-8B48-321933B60BE8}" type="pres">
      <dgm:prSet presAssocID="{CF26F2A6-55C1-4B11-9C99-52D75CA95C9D}" presName="Name28" presStyleLbl="parChTrans1D2" presStyleIdx="2" presStyleCnt="3"/>
      <dgm:spPr>
        <a:custGeom>
          <a:avLst/>
          <a:gdLst/>
          <a:ahLst/>
          <a:cxnLst/>
          <a:rect l="0" t="0" r="0" b="0"/>
          <a:pathLst>
            <a:path>
              <a:moveTo>
                <a:pt x="0" y="0"/>
              </a:moveTo>
              <a:lnTo>
                <a:pt x="0" y="102056"/>
              </a:lnTo>
              <a:lnTo>
                <a:pt x="1197950" y="102056"/>
              </a:lnTo>
              <a:lnTo>
                <a:pt x="1197950" y="204113"/>
              </a:lnTo>
            </a:path>
          </a:pathLst>
        </a:custGeom>
      </dgm:spPr>
      <dgm:t>
        <a:bodyPr/>
        <a:lstStyle/>
        <a:p>
          <a:endParaRPr lang="lt-LT"/>
        </a:p>
      </dgm:t>
    </dgm:pt>
    <dgm:pt modelId="{1CE05E46-EF4E-458B-82E3-4BFFBAE4F1F5}" type="pres">
      <dgm:prSet presAssocID="{9245BC44-FA08-46A3-8A51-A8AF4FB18112}" presName="hierRoot2" presStyleCnt="0">
        <dgm:presLayoutVars>
          <dgm:hierBranch val="init"/>
        </dgm:presLayoutVars>
      </dgm:prSet>
      <dgm:spPr/>
    </dgm:pt>
    <dgm:pt modelId="{4178EED6-3D63-48A6-B604-D54F67FEE661}" type="pres">
      <dgm:prSet presAssocID="{9245BC44-FA08-46A3-8A51-A8AF4FB18112}" presName="rootComposite2" presStyleCnt="0"/>
      <dgm:spPr/>
    </dgm:pt>
    <dgm:pt modelId="{46C273BC-5DDF-44DD-9475-11B0570E459B}" type="pres">
      <dgm:prSet presAssocID="{9245BC44-FA08-46A3-8A51-A8AF4FB18112}" presName="rootText2" presStyleLbl="alignAcc1" presStyleIdx="0" presStyleCnt="0">
        <dgm:presLayoutVars>
          <dgm:chPref val="3"/>
        </dgm:presLayoutVars>
      </dgm:prSet>
      <dgm:spPr>
        <a:prstGeom prst="rect">
          <a:avLst/>
        </a:prstGeom>
      </dgm:spPr>
      <dgm:t>
        <a:bodyPr/>
        <a:lstStyle/>
        <a:p>
          <a:endParaRPr lang="lt-LT"/>
        </a:p>
      </dgm:t>
    </dgm:pt>
    <dgm:pt modelId="{8AC43883-EA03-44B2-B3E1-1EDA7426BC35}" type="pres">
      <dgm:prSet presAssocID="{9245BC44-FA08-46A3-8A51-A8AF4FB18112}" presName="topArc2" presStyleLbl="parChTrans1D1" presStyleIdx="8" presStyleCnt="12"/>
      <dgm:spPr>
        <a:xfrm>
          <a:off x="4074396" y="690457"/>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gm:spPr>
    </dgm:pt>
    <dgm:pt modelId="{23F3E069-536C-4AA4-9E5C-7C875A42AE28}" type="pres">
      <dgm:prSet presAssocID="{9245BC44-FA08-46A3-8A51-A8AF4FB18112}" presName="bottomArc2" presStyleLbl="parChTrans1D1" presStyleIdx="9" presStyleCnt="12"/>
      <dgm:spPr>
        <a:xfrm>
          <a:off x="4074396" y="690457"/>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gm:spPr>
    </dgm:pt>
    <dgm:pt modelId="{04EAE319-C294-4CCB-8669-8648DF29CD5D}" type="pres">
      <dgm:prSet presAssocID="{9245BC44-FA08-46A3-8A51-A8AF4FB18112}" presName="topConnNode2" presStyleLbl="node2" presStyleIdx="0" presStyleCnt="0"/>
      <dgm:spPr/>
      <dgm:t>
        <a:bodyPr/>
        <a:lstStyle/>
        <a:p>
          <a:endParaRPr lang="lt-LT"/>
        </a:p>
      </dgm:t>
    </dgm:pt>
    <dgm:pt modelId="{4057E814-D2E8-4D8D-8469-1517ECE51126}" type="pres">
      <dgm:prSet presAssocID="{9245BC44-FA08-46A3-8A51-A8AF4FB18112}" presName="hierChild4" presStyleCnt="0"/>
      <dgm:spPr/>
    </dgm:pt>
    <dgm:pt modelId="{61124F26-ED67-4D17-B9C0-874D860FA694}" type="pres">
      <dgm:prSet presAssocID="{9245BC44-FA08-46A3-8A51-A8AF4FB18112}" presName="hierChild5" presStyleCnt="0"/>
      <dgm:spPr/>
    </dgm:pt>
    <dgm:pt modelId="{61B3C35C-E3EF-4899-9EB1-BCB7526788D8}" type="pres">
      <dgm:prSet presAssocID="{84E6CF6F-77EB-426D-B312-F50E4FE62A10}" presName="Name101" presStyleLbl="parChTrans1D3" presStyleIdx="1" presStyleCnt="2"/>
      <dgm:spPr>
        <a:custGeom>
          <a:avLst/>
          <a:gdLst/>
          <a:ahLst/>
          <a:cxnLst/>
          <a:rect l="0" t="0" r="0" b="0"/>
          <a:pathLst>
            <a:path>
              <a:moveTo>
                <a:pt x="403366" y="0"/>
              </a:moveTo>
              <a:lnTo>
                <a:pt x="403366" y="291590"/>
              </a:lnTo>
              <a:lnTo>
                <a:pt x="0" y="291590"/>
              </a:lnTo>
            </a:path>
          </a:pathLst>
        </a:custGeom>
      </dgm:spPr>
      <dgm:t>
        <a:bodyPr/>
        <a:lstStyle/>
        <a:p>
          <a:endParaRPr lang="lt-LT"/>
        </a:p>
      </dgm:t>
    </dgm:pt>
    <dgm:pt modelId="{9DA0CFAD-BD36-4918-B392-D1D9A033FD50}" type="pres">
      <dgm:prSet presAssocID="{0B567098-9F35-488B-898F-E5F3F291907F}" presName="hierRoot3" presStyleCnt="0">
        <dgm:presLayoutVars>
          <dgm:hierBranch val="init"/>
        </dgm:presLayoutVars>
      </dgm:prSet>
      <dgm:spPr/>
    </dgm:pt>
    <dgm:pt modelId="{663CC25C-641D-42F1-8234-9684AEE647F8}" type="pres">
      <dgm:prSet presAssocID="{0B567098-9F35-488B-898F-E5F3F291907F}" presName="rootComposite3" presStyleCnt="0"/>
      <dgm:spPr/>
    </dgm:pt>
    <dgm:pt modelId="{F907EE28-06DE-4AAD-919B-4A048F5C62BB}" type="pres">
      <dgm:prSet presAssocID="{0B567098-9F35-488B-898F-E5F3F291907F}" presName="rootText3" presStyleLbl="alignAcc1" presStyleIdx="0" presStyleCnt="0">
        <dgm:presLayoutVars>
          <dgm:chPref val="3"/>
        </dgm:presLayoutVars>
      </dgm:prSet>
      <dgm:spPr>
        <a:prstGeom prst="rect">
          <a:avLst/>
        </a:prstGeom>
      </dgm:spPr>
      <dgm:t>
        <a:bodyPr/>
        <a:lstStyle/>
        <a:p>
          <a:endParaRPr lang="lt-LT"/>
        </a:p>
      </dgm:t>
    </dgm:pt>
    <dgm:pt modelId="{55D5C023-4CDE-496F-83A3-9349AD787DE9}" type="pres">
      <dgm:prSet presAssocID="{0B567098-9F35-488B-898F-E5F3F291907F}" presName="topArc3" presStyleLbl="parChTrans1D1" presStyleIdx="10" presStyleCnt="12"/>
      <dgm:spPr>
        <a:xfrm>
          <a:off x="3486355" y="1380555"/>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gm:spPr>
    </dgm:pt>
    <dgm:pt modelId="{6CE10F50-EC1E-41F5-BB46-242979F3F400}" type="pres">
      <dgm:prSet presAssocID="{0B567098-9F35-488B-898F-E5F3F291907F}" presName="bottomArc3" presStyleLbl="parChTrans1D1" presStyleIdx="11" presStyleCnt="12"/>
      <dgm:spPr>
        <a:xfrm>
          <a:off x="3486355" y="1380555"/>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gm:spPr>
    </dgm:pt>
    <dgm:pt modelId="{F6542009-F12E-4918-81A5-CB36B3D14A77}" type="pres">
      <dgm:prSet presAssocID="{0B567098-9F35-488B-898F-E5F3F291907F}" presName="topConnNode3" presStyleLbl="asst2" presStyleIdx="0" presStyleCnt="0"/>
      <dgm:spPr/>
      <dgm:t>
        <a:bodyPr/>
        <a:lstStyle/>
        <a:p>
          <a:endParaRPr lang="lt-LT"/>
        </a:p>
      </dgm:t>
    </dgm:pt>
    <dgm:pt modelId="{01E05F06-4079-46A7-B42F-1ED6E5C07BC7}" type="pres">
      <dgm:prSet presAssocID="{0B567098-9F35-488B-898F-E5F3F291907F}" presName="hierChild6" presStyleCnt="0"/>
      <dgm:spPr/>
    </dgm:pt>
    <dgm:pt modelId="{DA1B56FE-5ABB-4DB2-8BB8-87042ED854B7}" type="pres">
      <dgm:prSet presAssocID="{0B567098-9F35-488B-898F-E5F3F291907F}" presName="hierChild7" presStyleCnt="0"/>
      <dgm:spPr/>
    </dgm:pt>
    <dgm:pt modelId="{607A1356-D66E-490B-BBA3-5EE2D75CD0CE}" type="pres">
      <dgm:prSet presAssocID="{4AAFCEE1-D51D-453A-89BF-28E848E5C2C9}" presName="hierChild3" presStyleCnt="0"/>
      <dgm:spPr/>
    </dgm:pt>
  </dgm:ptLst>
  <dgm:cxnLst>
    <dgm:cxn modelId="{1BDB285B-1D91-4DA5-850F-EBB4303150E7}" type="presOf" srcId="{EE6AAAA0-29B8-4A0D-9579-4ADC786FE8D4}" destId="{9BD180F5-6CF0-4000-BC65-82FF2D0C7284}" srcOrd="0" destOrd="0" presId="urn:microsoft.com/office/officeart/2008/layout/HalfCircleOrganizationChart"/>
    <dgm:cxn modelId="{48085306-4478-4AEF-ADCB-7D4301D9244D}" type="presOf" srcId="{9532A62D-7673-40B3-9FED-499ABE3A6479}" destId="{6E3C1262-115B-46C5-AF9C-FF4D55D20C3A}" srcOrd="0" destOrd="0" presId="urn:microsoft.com/office/officeart/2008/layout/HalfCircleOrganizationChart"/>
    <dgm:cxn modelId="{BAB4A3ED-A62F-471B-BC3A-951A12ED3B92}" type="presOf" srcId="{0B567098-9F35-488B-898F-E5F3F291907F}" destId="{F6542009-F12E-4918-81A5-CB36B3D14A77}" srcOrd="1" destOrd="0" presId="urn:microsoft.com/office/officeart/2008/layout/HalfCircleOrganizationChart"/>
    <dgm:cxn modelId="{6A9A5742-27C2-419E-9957-744EDC2B5810}" srcId="{4AAFCEE1-D51D-453A-89BF-28E848E5C2C9}" destId="{B2568F83-9EFF-46A0-AE98-403DB784A2BB}" srcOrd="1" destOrd="0" parTransId="{B3EA3F9A-EF65-41D9-9E41-2A637B685B64}" sibTransId="{7999FB14-9754-4476-B6CD-D76A0B56315F}"/>
    <dgm:cxn modelId="{080BDFDD-1CFD-4F76-B4EC-042EBAE2881F}" srcId="{E7F7176E-0A2A-4487-8413-1538C2B9C323}" destId="{4AAFCEE1-D51D-453A-89BF-28E848E5C2C9}" srcOrd="0" destOrd="0" parTransId="{6E6A3850-BC21-4434-A871-FC883B5210DA}" sibTransId="{AE4C7781-1F80-4CC8-9414-240EB239FFE7}"/>
    <dgm:cxn modelId="{330CD91B-F75A-4818-944D-F84DFA5490C7}" srcId="{A53A95D2-0F1E-4A20-977E-A16856EE9DFA}" destId="{9532A62D-7673-40B3-9FED-499ABE3A6479}" srcOrd="0" destOrd="0" parTransId="{EE6AAAA0-29B8-4A0D-9579-4ADC786FE8D4}" sibTransId="{07AA1ECB-26F6-4B20-999C-07A724E1E15C}"/>
    <dgm:cxn modelId="{2DA02AA1-0E5E-4147-B67B-288F65904510}" type="presOf" srcId="{4AAFCEE1-D51D-453A-89BF-28E848E5C2C9}" destId="{86E4BF53-D612-4097-9FFA-E7C020464B60}" srcOrd="0" destOrd="0" presId="urn:microsoft.com/office/officeart/2008/layout/HalfCircleOrganizationChart"/>
    <dgm:cxn modelId="{2DF6A2B9-ADD8-4A6F-BF13-6CE783D8B3CB}" type="presOf" srcId="{B3EA3F9A-EF65-41D9-9E41-2A637B685B64}" destId="{8333E42B-160C-4F54-9842-51812ECDD394}" srcOrd="0" destOrd="0" presId="urn:microsoft.com/office/officeart/2008/layout/HalfCircleOrganizationChart"/>
    <dgm:cxn modelId="{C9D52C67-16FF-47F3-B516-FD02AAF8F134}" type="presOf" srcId="{0C2A236B-FE96-4810-AACA-53A4E6BBA597}" destId="{7BDA5246-9784-41DC-A869-1FFBF42397F1}" srcOrd="0" destOrd="0" presId="urn:microsoft.com/office/officeart/2008/layout/HalfCircleOrganizationChart"/>
    <dgm:cxn modelId="{D5AEDCD9-0B9D-4774-AC1D-09AEFF6BF1DB}" type="presOf" srcId="{9532A62D-7673-40B3-9FED-499ABE3A6479}" destId="{05B2EEBD-42DE-45CF-9811-DB1EA7BBED42}" srcOrd="1" destOrd="0" presId="urn:microsoft.com/office/officeart/2008/layout/HalfCircleOrganizationChart"/>
    <dgm:cxn modelId="{494D84FF-785A-4A04-B3BF-AFF2C71D362F}" type="presOf" srcId="{4AAFCEE1-D51D-453A-89BF-28E848E5C2C9}" destId="{0B60F4A9-8DC4-44B6-957F-97A4F79AD347}" srcOrd="1" destOrd="0" presId="urn:microsoft.com/office/officeart/2008/layout/HalfCircleOrganizationChart"/>
    <dgm:cxn modelId="{03E13878-3F11-48D3-80BF-A016957C7BD5}" srcId="{4AAFCEE1-D51D-453A-89BF-28E848E5C2C9}" destId="{A53A95D2-0F1E-4A20-977E-A16856EE9DFA}" srcOrd="0" destOrd="0" parTransId="{0C2A236B-FE96-4810-AACA-53A4E6BBA597}" sibTransId="{286A3B41-8F1D-48DD-82C5-F8EA01C642B0}"/>
    <dgm:cxn modelId="{1006CC79-49CC-44F5-A5FB-4A0423168A5B}" type="presOf" srcId="{84E6CF6F-77EB-426D-B312-F50E4FE62A10}" destId="{61B3C35C-E3EF-4899-9EB1-BCB7526788D8}" srcOrd="0" destOrd="0" presId="urn:microsoft.com/office/officeart/2008/layout/HalfCircleOrganizationChart"/>
    <dgm:cxn modelId="{6EE24328-E0FF-4299-9A92-3A0E1140DE67}" type="presOf" srcId="{9245BC44-FA08-46A3-8A51-A8AF4FB18112}" destId="{46C273BC-5DDF-44DD-9475-11B0570E459B}" srcOrd="0" destOrd="0" presId="urn:microsoft.com/office/officeart/2008/layout/HalfCircleOrganizationChart"/>
    <dgm:cxn modelId="{D9A4F1ED-776C-401E-B6FD-E15E28652CDF}" type="presOf" srcId="{E7F7176E-0A2A-4487-8413-1538C2B9C323}" destId="{5E93FEBB-35BE-4DFE-9808-8B99CA868AA6}" srcOrd="0" destOrd="0" presId="urn:microsoft.com/office/officeart/2008/layout/HalfCircleOrganizationChart"/>
    <dgm:cxn modelId="{87EECCA4-F7B2-451B-8811-80A33994B3EE}" srcId="{4AAFCEE1-D51D-453A-89BF-28E848E5C2C9}" destId="{9245BC44-FA08-46A3-8A51-A8AF4FB18112}" srcOrd="2" destOrd="0" parTransId="{CF26F2A6-55C1-4B11-9C99-52D75CA95C9D}" sibTransId="{B5FB4A32-66E1-4462-A5BE-A47C051D1F2C}"/>
    <dgm:cxn modelId="{CCFFAC32-9073-444D-87EB-FD43B9240673}" type="presOf" srcId="{9245BC44-FA08-46A3-8A51-A8AF4FB18112}" destId="{04EAE319-C294-4CCB-8669-8648DF29CD5D}" srcOrd="1" destOrd="0" presId="urn:microsoft.com/office/officeart/2008/layout/HalfCircleOrganizationChart"/>
    <dgm:cxn modelId="{67E26A01-BE4D-4C2C-9FDE-2DA505F8A646}" srcId="{9245BC44-FA08-46A3-8A51-A8AF4FB18112}" destId="{0B567098-9F35-488B-898F-E5F3F291907F}" srcOrd="0" destOrd="0" parTransId="{84E6CF6F-77EB-426D-B312-F50E4FE62A10}" sibTransId="{80453FF3-9CBA-4F76-A718-FEB37A3BE171}"/>
    <dgm:cxn modelId="{9A004EC8-C59A-4CCC-BC48-D31CFFDE0B7D}" type="presOf" srcId="{B2568F83-9EFF-46A0-AE98-403DB784A2BB}" destId="{9123AE40-FF17-408B-8A20-9B0F8E7FBA07}" srcOrd="1" destOrd="0" presId="urn:microsoft.com/office/officeart/2008/layout/HalfCircleOrganizationChart"/>
    <dgm:cxn modelId="{133990BE-6837-4B3E-85AC-632BFB6B93D4}" type="presOf" srcId="{0B567098-9F35-488B-898F-E5F3F291907F}" destId="{F907EE28-06DE-4AAD-919B-4A048F5C62BB}" srcOrd="0" destOrd="0" presId="urn:microsoft.com/office/officeart/2008/layout/HalfCircleOrganizationChart"/>
    <dgm:cxn modelId="{7799B610-DC81-479F-9DDB-2F0F201A6D60}" type="presOf" srcId="{CF26F2A6-55C1-4B11-9C99-52D75CA95C9D}" destId="{54809956-A006-429E-8B48-321933B60BE8}" srcOrd="0" destOrd="0" presId="urn:microsoft.com/office/officeart/2008/layout/HalfCircleOrganizationChart"/>
    <dgm:cxn modelId="{CFC431FA-916A-4EF6-A676-D895A516C90E}" type="presOf" srcId="{A53A95D2-0F1E-4A20-977E-A16856EE9DFA}" destId="{DCBE7951-6824-4EA2-A685-BDF294B85F26}" srcOrd="1" destOrd="0" presId="urn:microsoft.com/office/officeart/2008/layout/HalfCircleOrganizationChart"/>
    <dgm:cxn modelId="{8EF95EB1-C4E0-439E-97EF-54FC795EA783}" type="presOf" srcId="{B2568F83-9EFF-46A0-AE98-403DB784A2BB}" destId="{C3392F91-0EA2-4584-B0F3-463A9DC79073}" srcOrd="0" destOrd="0" presId="urn:microsoft.com/office/officeart/2008/layout/HalfCircleOrganizationChart"/>
    <dgm:cxn modelId="{E292B2EE-FCFD-4A2E-9CC8-5C71641F9033}" type="presOf" srcId="{A53A95D2-0F1E-4A20-977E-A16856EE9DFA}" destId="{943397FA-B2CF-4890-83ED-5E49410F729B}" srcOrd="0" destOrd="0" presId="urn:microsoft.com/office/officeart/2008/layout/HalfCircleOrganizationChart"/>
    <dgm:cxn modelId="{5F830001-91BE-47D3-B1BD-3AC40D1F1422}" type="presParOf" srcId="{5E93FEBB-35BE-4DFE-9808-8B99CA868AA6}" destId="{835345B4-2726-4174-8280-8560EE850531}" srcOrd="0" destOrd="0" presId="urn:microsoft.com/office/officeart/2008/layout/HalfCircleOrganizationChart"/>
    <dgm:cxn modelId="{14901A40-6229-4130-8488-CB2C72806448}" type="presParOf" srcId="{835345B4-2726-4174-8280-8560EE850531}" destId="{627F8CE1-8155-4FE7-9E23-BF7848D39D1F}" srcOrd="0" destOrd="0" presId="urn:microsoft.com/office/officeart/2008/layout/HalfCircleOrganizationChart"/>
    <dgm:cxn modelId="{A4C62D11-2EAC-46FD-99DF-44207D4930D9}" type="presParOf" srcId="{627F8CE1-8155-4FE7-9E23-BF7848D39D1F}" destId="{86E4BF53-D612-4097-9FFA-E7C020464B60}" srcOrd="0" destOrd="0" presId="urn:microsoft.com/office/officeart/2008/layout/HalfCircleOrganizationChart"/>
    <dgm:cxn modelId="{699045C5-E216-4021-B1DF-C8E946D3C070}" type="presParOf" srcId="{627F8CE1-8155-4FE7-9E23-BF7848D39D1F}" destId="{3C0A937A-8096-4A2F-9C3A-85DE1132F9E8}" srcOrd="1" destOrd="0" presId="urn:microsoft.com/office/officeart/2008/layout/HalfCircleOrganizationChart"/>
    <dgm:cxn modelId="{8FBE9B94-398D-4E9D-9D9A-E99FCE61F8AC}" type="presParOf" srcId="{627F8CE1-8155-4FE7-9E23-BF7848D39D1F}" destId="{8D9DBC3C-F7A5-4898-841F-CF69ADAE9648}" srcOrd="2" destOrd="0" presId="urn:microsoft.com/office/officeart/2008/layout/HalfCircleOrganizationChart"/>
    <dgm:cxn modelId="{9E9859F2-E738-4F72-B03B-B5FAF778C9DD}" type="presParOf" srcId="{627F8CE1-8155-4FE7-9E23-BF7848D39D1F}" destId="{0B60F4A9-8DC4-44B6-957F-97A4F79AD347}" srcOrd="3" destOrd="0" presId="urn:microsoft.com/office/officeart/2008/layout/HalfCircleOrganizationChart"/>
    <dgm:cxn modelId="{DD17F075-9FF0-448C-9370-E6BA4FCAFA26}" type="presParOf" srcId="{835345B4-2726-4174-8280-8560EE850531}" destId="{193D7566-CE52-45D2-A45F-E7B5E778E8DD}" srcOrd="1" destOrd="0" presId="urn:microsoft.com/office/officeart/2008/layout/HalfCircleOrganizationChart"/>
    <dgm:cxn modelId="{CA3D2E5C-B039-46AA-A6E7-3F3587AEDAB6}" type="presParOf" srcId="{193D7566-CE52-45D2-A45F-E7B5E778E8DD}" destId="{7BDA5246-9784-41DC-A869-1FFBF42397F1}" srcOrd="0" destOrd="0" presId="urn:microsoft.com/office/officeart/2008/layout/HalfCircleOrganizationChart"/>
    <dgm:cxn modelId="{19608F10-E29D-4FEC-A13C-7049511C6A60}" type="presParOf" srcId="{193D7566-CE52-45D2-A45F-E7B5E778E8DD}" destId="{C5C31397-7E4F-433A-8574-9A2E7A463034}" srcOrd="1" destOrd="0" presId="urn:microsoft.com/office/officeart/2008/layout/HalfCircleOrganizationChart"/>
    <dgm:cxn modelId="{C584B425-EB13-47E0-8759-7AEEF535CAED}" type="presParOf" srcId="{C5C31397-7E4F-433A-8574-9A2E7A463034}" destId="{55EE3201-1D91-45FF-A938-9E9EEFA59E24}" srcOrd="0" destOrd="0" presId="urn:microsoft.com/office/officeart/2008/layout/HalfCircleOrganizationChart"/>
    <dgm:cxn modelId="{2D406035-A24E-4113-AF4D-27AF0900D854}" type="presParOf" srcId="{55EE3201-1D91-45FF-A938-9E9EEFA59E24}" destId="{943397FA-B2CF-4890-83ED-5E49410F729B}" srcOrd="0" destOrd="0" presId="urn:microsoft.com/office/officeart/2008/layout/HalfCircleOrganizationChart"/>
    <dgm:cxn modelId="{4E1D6148-841E-4AF7-9DDB-FA18C31F2616}" type="presParOf" srcId="{55EE3201-1D91-45FF-A938-9E9EEFA59E24}" destId="{70A40D1D-7A1D-44D7-8355-E7E94FEE6583}" srcOrd="1" destOrd="0" presId="urn:microsoft.com/office/officeart/2008/layout/HalfCircleOrganizationChart"/>
    <dgm:cxn modelId="{8513E93B-BD74-4EA1-920D-5ED4D5803E31}" type="presParOf" srcId="{55EE3201-1D91-45FF-A938-9E9EEFA59E24}" destId="{D209C4B1-1544-4D35-996E-9B81EA070E08}" srcOrd="2" destOrd="0" presId="urn:microsoft.com/office/officeart/2008/layout/HalfCircleOrganizationChart"/>
    <dgm:cxn modelId="{2E1F8E74-02BE-492A-BD52-1931A9EAC317}" type="presParOf" srcId="{55EE3201-1D91-45FF-A938-9E9EEFA59E24}" destId="{DCBE7951-6824-4EA2-A685-BDF294B85F26}" srcOrd="3" destOrd="0" presId="urn:microsoft.com/office/officeart/2008/layout/HalfCircleOrganizationChart"/>
    <dgm:cxn modelId="{957B7DB6-D11F-4D36-8FD2-9302D2C10BC4}" type="presParOf" srcId="{C5C31397-7E4F-433A-8574-9A2E7A463034}" destId="{9A407D9E-E1A4-4CF7-9867-4FC7CD3656EC}" srcOrd="1" destOrd="0" presId="urn:microsoft.com/office/officeart/2008/layout/HalfCircleOrganizationChart"/>
    <dgm:cxn modelId="{200EB77C-3996-41BE-A336-CD155E70D9FF}" type="presParOf" srcId="{9A407D9E-E1A4-4CF7-9867-4FC7CD3656EC}" destId="{9BD180F5-6CF0-4000-BC65-82FF2D0C7284}" srcOrd="0" destOrd="0" presId="urn:microsoft.com/office/officeart/2008/layout/HalfCircleOrganizationChart"/>
    <dgm:cxn modelId="{E1606470-FD5F-4015-9405-90BE4B351605}" type="presParOf" srcId="{9A407D9E-E1A4-4CF7-9867-4FC7CD3656EC}" destId="{3FA03B2A-AAC0-4450-9724-41E669E07901}" srcOrd="1" destOrd="0" presId="urn:microsoft.com/office/officeart/2008/layout/HalfCircleOrganizationChart"/>
    <dgm:cxn modelId="{22F15782-AEFD-43FC-9909-E14683E55ED6}" type="presParOf" srcId="{3FA03B2A-AAC0-4450-9724-41E669E07901}" destId="{B02A25FF-4AF3-4246-BAE5-FBB943DA7BFE}" srcOrd="0" destOrd="0" presId="urn:microsoft.com/office/officeart/2008/layout/HalfCircleOrganizationChart"/>
    <dgm:cxn modelId="{1FEE7B68-F428-493F-8AEC-A7EBA6F58CEA}" type="presParOf" srcId="{B02A25FF-4AF3-4246-BAE5-FBB943DA7BFE}" destId="{6E3C1262-115B-46C5-AF9C-FF4D55D20C3A}" srcOrd="0" destOrd="0" presId="urn:microsoft.com/office/officeart/2008/layout/HalfCircleOrganizationChart"/>
    <dgm:cxn modelId="{8565DE3F-81F6-4D00-B997-0FC2DBB62302}" type="presParOf" srcId="{B02A25FF-4AF3-4246-BAE5-FBB943DA7BFE}" destId="{90378080-DF94-409C-B301-E8A79B86AB35}" srcOrd="1" destOrd="0" presId="urn:microsoft.com/office/officeart/2008/layout/HalfCircleOrganizationChart"/>
    <dgm:cxn modelId="{86C9EF01-9BB9-42DE-A5D2-2CF9D2A6450F}" type="presParOf" srcId="{B02A25FF-4AF3-4246-BAE5-FBB943DA7BFE}" destId="{0BC8FFDA-613C-434D-B3BA-EEB4770DD2A2}" srcOrd="2" destOrd="0" presId="urn:microsoft.com/office/officeart/2008/layout/HalfCircleOrganizationChart"/>
    <dgm:cxn modelId="{0F23DFD7-3FED-4C27-B088-04DFB182E567}" type="presParOf" srcId="{B02A25FF-4AF3-4246-BAE5-FBB943DA7BFE}" destId="{05B2EEBD-42DE-45CF-9811-DB1EA7BBED42}" srcOrd="3" destOrd="0" presId="urn:microsoft.com/office/officeart/2008/layout/HalfCircleOrganizationChart"/>
    <dgm:cxn modelId="{029894D6-B10B-43E8-8DD8-11AE3A7FD4AD}" type="presParOf" srcId="{3FA03B2A-AAC0-4450-9724-41E669E07901}" destId="{FA957794-57E4-45FD-A1F6-012E287675DA}" srcOrd="1" destOrd="0" presId="urn:microsoft.com/office/officeart/2008/layout/HalfCircleOrganizationChart"/>
    <dgm:cxn modelId="{7CDF60AB-D69F-4775-97B1-8FAEB328C616}" type="presParOf" srcId="{3FA03B2A-AAC0-4450-9724-41E669E07901}" destId="{EE1EF3CA-5292-4B80-95AE-AA6E1BF2B407}" srcOrd="2" destOrd="0" presId="urn:microsoft.com/office/officeart/2008/layout/HalfCircleOrganizationChart"/>
    <dgm:cxn modelId="{CAD10E61-D327-4C17-994B-4D0A87F2D29E}" type="presParOf" srcId="{C5C31397-7E4F-433A-8574-9A2E7A463034}" destId="{8D31E993-E77B-4FAE-A287-047228A2DDFA}" srcOrd="2" destOrd="0" presId="urn:microsoft.com/office/officeart/2008/layout/HalfCircleOrganizationChart"/>
    <dgm:cxn modelId="{2CE30383-ED19-400E-9BFC-4794642A6FCE}" type="presParOf" srcId="{193D7566-CE52-45D2-A45F-E7B5E778E8DD}" destId="{8333E42B-160C-4F54-9842-51812ECDD394}" srcOrd="2" destOrd="0" presId="urn:microsoft.com/office/officeart/2008/layout/HalfCircleOrganizationChart"/>
    <dgm:cxn modelId="{1223D365-ADCC-487F-B2C5-8BFD7FDF3492}" type="presParOf" srcId="{193D7566-CE52-45D2-A45F-E7B5E778E8DD}" destId="{D6DCD32C-070C-40B4-B5B3-13B485589DFC}" srcOrd="3" destOrd="0" presId="urn:microsoft.com/office/officeart/2008/layout/HalfCircleOrganizationChart"/>
    <dgm:cxn modelId="{955331F2-4E7B-47D0-90E6-0A8D3AB97846}" type="presParOf" srcId="{D6DCD32C-070C-40B4-B5B3-13B485589DFC}" destId="{E1DD69C7-2A3A-4EA3-94E2-34BC8395F81E}" srcOrd="0" destOrd="0" presId="urn:microsoft.com/office/officeart/2008/layout/HalfCircleOrganizationChart"/>
    <dgm:cxn modelId="{00101AFA-106A-4FD8-9E21-ABE35DBCE431}" type="presParOf" srcId="{E1DD69C7-2A3A-4EA3-94E2-34BC8395F81E}" destId="{C3392F91-0EA2-4584-B0F3-463A9DC79073}" srcOrd="0" destOrd="0" presId="urn:microsoft.com/office/officeart/2008/layout/HalfCircleOrganizationChart"/>
    <dgm:cxn modelId="{34164D07-4B2E-4FBE-87FE-107D2582AD54}" type="presParOf" srcId="{E1DD69C7-2A3A-4EA3-94E2-34BC8395F81E}" destId="{73BBBA3D-0131-4D3C-A61E-5C63258CE5D7}" srcOrd="1" destOrd="0" presId="urn:microsoft.com/office/officeart/2008/layout/HalfCircleOrganizationChart"/>
    <dgm:cxn modelId="{7D05E42D-0747-4199-8B54-BA564050AB3B}" type="presParOf" srcId="{E1DD69C7-2A3A-4EA3-94E2-34BC8395F81E}" destId="{6FB3044B-18CA-4962-8A9C-EE202E589CE7}" srcOrd="2" destOrd="0" presId="urn:microsoft.com/office/officeart/2008/layout/HalfCircleOrganizationChart"/>
    <dgm:cxn modelId="{A5BBD71F-D0F4-412F-A8B9-63F2FA9535D2}" type="presParOf" srcId="{E1DD69C7-2A3A-4EA3-94E2-34BC8395F81E}" destId="{9123AE40-FF17-408B-8A20-9B0F8E7FBA07}" srcOrd="3" destOrd="0" presId="urn:microsoft.com/office/officeart/2008/layout/HalfCircleOrganizationChart"/>
    <dgm:cxn modelId="{3DF0B217-C3A4-4E7C-80A5-CDFB8AEE332B}" type="presParOf" srcId="{D6DCD32C-070C-40B4-B5B3-13B485589DFC}" destId="{A0988DE3-3910-43E6-BA68-FC7BC4B64694}" srcOrd="1" destOrd="0" presId="urn:microsoft.com/office/officeart/2008/layout/HalfCircleOrganizationChart"/>
    <dgm:cxn modelId="{A88125FD-2FAE-4D09-884F-EF339152E628}" type="presParOf" srcId="{D6DCD32C-070C-40B4-B5B3-13B485589DFC}" destId="{BB56B351-E377-413B-9D52-284879B246FE}" srcOrd="2" destOrd="0" presId="urn:microsoft.com/office/officeart/2008/layout/HalfCircleOrganizationChart"/>
    <dgm:cxn modelId="{17006259-FF90-49BE-B0BF-4EB494D6E504}" type="presParOf" srcId="{193D7566-CE52-45D2-A45F-E7B5E778E8DD}" destId="{54809956-A006-429E-8B48-321933B60BE8}" srcOrd="4" destOrd="0" presId="urn:microsoft.com/office/officeart/2008/layout/HalfCircleOrganizationChart"/>
    <dgm:cxn modelId="{B218E670-B5FE-4276-888A-71B8EC2CEE74}" type="presParOf" srcId="{193D7566-CE52-45D2-A45F-E7B5E778E8DD}" destId="{1CE05E46-EF4E-458B-82E3-4BFFBAE4F1F5}" srcOrd="5" destOrd="0" presId="urn:microsoft.com/office/officeart/2008/layout/HalfCircleOrganizationChart"/>
    <dgm:cxn modelId="{59E71FB9-08E6-4EAC-B6DA-5F9F4CF80535}" type="presParOf" srcId="{1CE05E46-EF4E-458B-82E3-4BFFBAE4F1F5}" destId="{4178EED6-3D63-48A6-B604-D54F67FEE661}" srcOrd="0" destOrd="0" presId="urn:microsoft.com/office/officeart/2008/layout/HalfCircleOrganizationChart"/>
    <dgm:cxn modelId="{27FC347D-5ABF-472D-9F89-0CE29D84574F}" type="presParOf" srcId="{4178EED6-3D63-48A6-B604-D54F67FEE661}" destId="{46C273BC-5DDF-44DD-9475-11B0570E459B}" srcOrd="0" destOrd="0" presId="urn:microsoft.com/office/officeart/2008/layout/HalfCircleOrganizationChart"/>
    <dgm:cxn modelId="{B6F84D53-F7EA-4627-AA14-71FB8709BDE2}" type="presParOf" srcId="{4178EED6-3D63-48A6-B604-D54F67FEE661}" destId="{8AC43883-EA03-44B2-B3E1-1EDA7426BC35}" srcOrd="1" destOrd="0" presId="urn:microsoft.com/office/officeart/2008/layout/HalfCircleOrganizationChart"/>
    <dgm:cxn modelId="{E127EB6B-41EF-483F-A0E2-05B10FC6BBD6}" type="presParOf" srcId="{4178EED6-3D63-48A6-B604-D54F67FEE661}" destId="{23F3E069-536C-4AA4-9E5C-7C875A42AE28}" srcOrd="2" destOrd="0" presId="urn:microsoft.com/office/officeart/2008/layout/HalfCircleOrganizationChart"/>
    <dgm:cxn modelId="{4EDAB51A-9B9B-473F-92AD-27130A3974CD}" type="presParOf" srcId="{4178EED6-3D63-48A6-B604-D54F67FEE661}" destId="{04EAE319-C294-4CCB-8669-8648DF29CD5D}" srcOrd="3" destOrd="0" presId="urn:microsoft.com/office/officeart/2008/layout/HalfCircleOrganizationChart"/>
    <dgm:cxn modelId="{BFA25358-B9B1-44FA-BC0B-E8965EB56CC4}" type="presParOf" srcId="{1CE05E46-EF4E-458B-82E3-4BFFBAE4F1F5}" destId="{4057E814-D2E8-4D8D-8469-1517ECE51126}" srcOrd="1" destOrd="0" presId="urn:microsoft.com/office/officeart/2008/layout/HalfCircleOrganizationChart"/>
    <dgm:cxn modelId="{946B70C4-C7D4-4528-A30E-E387B63137BB}" type="presParOf" srcId="{1CE05E46-EF4E-458B-82E3-4BFFBAE4F1F5}" destId="{61124F26-ED67-4D17-B9C0-874D860FA694}" srcOrd="2" destOrd="0" presId="urn:microsoft.com/office/officeart/2008/layout/HalfCircleOrganizationChart"/>
    <dgm:cxn modelId="{923F2F53-73F8-4BD3-9DB6-143A2580FF5B}" type="presParOf" srcId="{61124F26-ED67-4D17-B9C0-874D860FA694}" destId="{61B3C35C-E3EF-4899-9EB1-BCB7526788D8}" srcOrd="0" destOrd="0" presId="urn:microsoft.com/office/officeart/2008/layout/HalfCircleOrganizationChart"/>
    <dgm:cxn modelId="{03A06635-FAC4-498F-A381-5950F89165F8}" type="presParOf" srcId="{61124F26-ED67-4D17-B9C0-874D860FA694}" destId="{9DA0CFAD-BD36-4918-B392-D1D9A033FD50}" srcOrd="1" destOrd="0" presId="urn:microsoft.com/office/officeart/2008/layout/HalfCircleOrganizationChart"/>
    <dgm:cxn modelId="{CA622589-0F19-4CC0-BCB9-A1D0D3990454}" type="presParOf" srcId="{9DA0CFAD-BD36-4918-B392-D1D9A033FD50}" destId="{663CC25C-641D-42F1-8234-9684AEE647F8}" srcOrd="0" destOrd="0" presId="urn:microsoft.com/office/officeart/2008/layout/HalfCircleOrganizationChart"/>
    <dgm:cxn modelId="{C8449BE1-01AA-4F28-B678-792510A38CB1}" type="presParOf" srcId="{663CC25C-641D-42F1-8234-9684AEE647F8}" destId="{F907EE28-06DE-4AAD-919B-4A048F5C62BB}" srcOrd="0" destOrd="0" presId="urn:microsoft.com/office/officeart/2008/layout/HalfCircleOrganizationChart"/>
    <dgm:cxn modelId="{79EC9BBA-B5E0-41DD-B491-93C4F802F7C6}" type="presParOf" srcId="{663CC25C-641D-42F1-8234-9684AEE647F8}" destId="{55D5C023-4CDE-496F-83A3-9349AD787DE9}" srcOrd="1" destOrd="0" presId="urn:microsoft.com/office/officeart/2008/layout/HalfCircleOrganizationChart"/>
    <dgm:cxn modelId="{66F93E9F-01B4-4EE6-82F7-0012CA79D2E0}" type="presParOf" srcId="{663CC25C-641D-42F1-8234-9684AEE647F8}" destId="{6CE10F50-EC1E-41F5-BB46-242979F3F400}" srcOrd="2" destOrd="0" presId="urn:microsoft.com/office/officeart/2008/layout/HalfCircleOrganizationChart"/>
    <dgm:cxn modelId="{E5746E69-E1DF-49F3-BBA3-0BE343E9BF54}" type="presParOf" srcId="{663CC25C-641D-42F1-8234-9684AEE647F8}" destId="{F6542009-F12E-4918-81A5-CB36B3D14A77}" srcOrd="3" destOrd="0" presId="urn:microsoft.com/office/officeart/2008/layout/HalfCircleOrganizationChart"/>
    <dgm:cxn modelId="{630793D0-8037-4F28-A2C4-D815CE056E76}" type="presParOf" srcId="{9DA0CFAD-BD36-4918-B392-D1D9A033FD50}" destId="{01E05F06-4079-46A7-B42F-1ED6E5C07BC7}" srcOrd="1" destOrd="0" presId="urn:microsoft.com/office/officeart/2008/layout/HalfCircleOrganizationChart"/>
    <dgm:cxn modelId="{A3EB1974-4B31-461F-90B8-C4FD2764AAA4}" type="presParOf" srcId="{9DA0CFAD-BD36-4918-B392-D1D9A033FD50}" destId="{DA1B56FE-5ABB-4DB2-8BB8-87042ED854B7}" srcOrd="2" destOrd="0" presId="urn:microsoft.com/office/officeart/2008/layout/HalfCircleOrganizationChart"/>
    <dgm:cxn modelId="{BB398C0F-D34B-4778-963E-1EB574476757}" type="presParOf" srcId="{835345B4-2726-4174-8280-8560EE850531}" destId="{607A1356-D66E-490B-BBA3-5EE2D75CD0CE}"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3C35C-E3EF-4899-9EB1-BCB7526788D8}">
      <dsp:nvSpPr>
        <dsp:cNvPr id="0" name=""/>
        <dsp:cNvSpPr/>
      </dsp:nvSpPr>
      <dsp:spPr>
        <a:xfrm>
          <a:off x="3914021" y="1176442"/>
          <a:ext cx="403366" cy="291590"/>
        </a:xfrm>
        <a:custGeom>
          <a:avLst/>
          <a:gdLst/>
          <a:ahLst/>
          <a:cxnLst/>
          <a:rect l="0" t="0" r="0" b="0"/>
          <a:pathLst>
            <a:path>
              <a:moveTo>
                <a:pt x="403366" y="0"/>
              </a:moveTo>
              <a:lnTo>
                <a:pt x="403366" y="291590"/>
              </a:lnTo>
              <a:lnTo>
                <a:pt x="0" y="291590"/>
              </a:lnTo>
            </a:path>
          </a:pathLst>
        </a:custGeom>
        <a:noFill/>
        <a:ln w="12700" cap="flat" cmpd="sng" algn="ctr">
          <a:solidFill>
            <a:srgbClr val="A5A5A5">
              <a:tint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809956-A006-429E-8B48-321933B60BE8}">
      <dsp:nvSpPr>
        <dsp:cNvPr id="0" name=""/>
        <dsp:cNvSpPr/>
      </dsp:nvSpPr>
      <dsp:spPr>
        <a:xfrm>
          <a:off x="3119437" y="486344"/>
          <a:ext cx="1197950" cy="204113"/>
        </a:xfrm>
        <a:custGeom>
          <a:avLst/>
          <a:gdLst/>
          <a:ahLst/>
          <a:cxnLst/>
          <a:rect l="0" t="0" r="0" b="0"/>
          <a:pathLst>
            <a:path>
              <a:moveTo>
                <a:pt x="0" y="0"/>
              </a:moveTo>
              <a:lnTo>
                <a:pt x="0" y="102056"/>
              </a:lnTo>
              <a:lnTo>
                <a:pt x="1197950" y="102056"/>
              </a:lnTo>
              <a:lnTo>
                <a:pt x="1197950" y="204113"/>
              </a:lnTo>
            </a:path>
          </a:pathLst>
        </a:custGeom>
        <a:noFill/>
        <a:ln w="12700" cap="flat" cmpd="sng" algn="ctr">
          <a:solidFill>
            <a:srgbClr val="A5A5A5">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33E42B-160C-4F54-9842-51812ECDD394}">
      <dsp:nvSpPr>
        <dsp:cNvPr id="0" name=""/>
        <dsp:cNvSpPr/>
      </dsp:nvSpPr>
      <dsp:spPr>
        <a:xfrm>
          <a:off x="3051848" y="486344"/>
          <a:ext cx="91440" cy="204113"/>
        </a:xfrm>
        <a:custGeom>
          <a:avLst/>
          <a:gdLst/>
          <a:ahLst/>
          <a:cxnLst/>
          <a:rect l="0" t="0" r="0" b="0"/>
          <a:pathLst>
            <a:path>
              <a:moveTo>
                <a:pt x="67589" y="0"/>
              </a:moveTo>
              <a:lnTo>
                <a:pt x="67589" y="102056"/>
              </a:lnTo>
              <a:lnTo>
                <a:pt x="45720" y="102056"/>
              </a:lnTo>
              <a:lnTo>
                <a:pt x="45720" y="204113"/>
              </a:lnTo>
            </a:path>
          </a:pathLst>
        </a:custGeom>
        <a:noFill/>
        <a:ln w="12700" cap="flat" cmpd="sng" algn="ctr">
          <a:solidFill>
            <a:srgbClr val="A5A5A5">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D180F5-6CF0-4000-BC65-82FF2D0C7284}">
      <dsp:nvSpPr>
        <dsp:cNvPr id="0" name=""/>
        <dsp:cNvSpPr/>
      </dsp:nvSpPr>
      <dsp:spPr>
        <a:xfrm>
          <a:off x="1921486" y="1176442"/>
          <a:ext cx="447105" cy="291590"/>
        </a:xfrm>
        <a:custGeom>
          <a:avLst/>
          <a:gdLst/>
          <a:ahLst/>
          <a:cxnLst/>
          <a:rect l="0" t="0" r="0" b="0"/>
          <a:pathLst>
            <a:path>
              <a:moveTo>
                <a:pt x="0" y="0"/>
              </a:moveTo>
              <a:lnTo>
                <a:pt x="0" y="291590"/>
              </a:lnTo>
              <a:lnTo>
                <a:pt x="447105" y="291590"/>
              </a:lnTo>
            </a:path>
          </a:pathLst>
        </a:custGeom>
        <a:noFill/>
        <a:ln w="12700" cap="flat" cmpd="sng" algn="ctr">
          <a:solidFill>
            <a:srgbClr val="A5A5A5">
              <a:tint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DA5246-9784-41DC-A869-1FFBF42397F1}">
      <dsp:nvSpPr>
        <dsp:cNvPr id="0" name=""/>
        <dsp:cNvSpPr/>
      </dsp:nvSpPr>
      <dsp:spPr>
        <a:xfrm>
          <a:off x="1921486" y="486344"/>
          <a:ext cx="1197950" cy="204113"/>
        </a:xfrm>
        <a:custGeom>
          <a:avLst/>
          <a:gdLst/>
          <a:ahLst/>
          <a:cxnLst/>
          <a:rect l="0" t="0" r="0" b="0"/>
          <a:pathLst>
            <a:path>
              <a:moveTo>
                <a:pt x="1197950" y="0"/>
              </a:moveTo>
              <a:lnTo>
                <a:pt x="1197950" y="102056"/>
              </a:lnTo>
              <a:lnTo>
                <a:pt x="0" y="102056"/>
              </a:lnTo>
              <a:lnTo>
                <a:pt x="0" y="204113"/>
              </a:lnTo>
            </a:path>
          </a:pathLst>
        </a:custGeom>
        <a:noFill/>
        <a:ln w="12700" cap="flat" cmpd="sng" algn="ctr">
          <a:solidFill>
            <a:srgbClr val="A5A5A5">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0A937A-8096-4A2F-9C3A-85DE1132F9E8}">
      <dsp:nvSpPr>
        <dsp:cNvPr id="0" name=""/>
        <dsp:cNvSpPr/>
      </dsp:nvSpPr>
      <dsp:spPr>
        <a:xfrm>
          <a:off x="2527501" y="360"/>
          <a:ext cx="1183871"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D9DBC3C-F7A5-4898-841F-CF69ADAE9648}">
      <dsp:nvSpPr>
        <dsp:cNvPr id="0" name=""/>
        <dsp:cNvSpPr/>
      </dsp:nvSpPr>
      <dsp:spPr>
        <a:xfrm>
          <a:off x="2527501" y="360"/>
          <a:ext cx="1183871"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E4BF53-D612-4097-9FFA-E7C020464B60}">
      <dsp:nvSpPr>
        <dsp:cNvPr id="0" name=""/>
        <dsp:cNvSpPr/>
      </dsp:nvSpPr>
      <dsp:spPr>
        <a:xfrm>
          <a:off x="1935565" y="87837"/>
          <a:ext cx="2367743" cy="31102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lt-LT" sz="12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GRUPIŲ MODELIAI</a:t>
          </a:r>
        </a:p>
        <a:p>
          <a:pPr marR="0" lvl="0" algn="ctr" defTabSz="533400" rtl="0">
            <a:lnSpc>
              <a:spcPct val="90000"/>
            </a:lnSpc>
            <a:spcBef>
              <a:spcPct val="0"/>
            </a:spcBef>
            <a:spcAft>
              <a:spcPct val="35000"/>
            </a:spcAft>
          </a:pPr>
          <a:r>
            <a:rPr lang="lt-LT" sz="12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2016 m.</a:t>
          </a:r>
          <a:endParaRPr lang="lt-LT" sz="1200" kern="1200" smtClean="0">
            <a:solidFill>
              <a:sysClr val="windowText" lastClr="000000">
                <a:hueOff val="0"/>
                <a:satOff val="0"/>
                <a:lumOff val="0"/>
                <a:alphaOff val="0"/>
              </a:sysClr>
            </a:solidFill>
            <a:latin typeface="Calibri" panose="020F0502020204030204"/>
            <a:ea typeface="+mn-ea"/>
            <a:cs typeface="+mn-cs"/>
          </a:endParaRPr>
        </a:p>
      </dsp:txBody>
      <dsp:txXfrm>
        <a:off x="1935565" y="87837"/>
        <a:ext cx="2367743" cy="311029"/>
      </dsp:txXfrm>
    </dsp:sp>
    <dsp:sp modelId="{70A40D1D-7A1D-44D7-8355-E7E94FEE6583}">
      <dsp:nvSpPr>
        <dsp:cNvPr id="0" name=""/>
        <dsp:cNvSpPr/>
      </dsp:nvSpPr>
      <dsp:spPr>
        <a:xfrm>
          <a:off x="1678494" y="690457"/>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09C4B1-1544-4D35-996E-9B81EA070E08}">
      <dsp:nvSpPr>
        <dsp:cNvPr id="0" name=""/>
        <dsp:cNvSpPr/>
      </dsp:nvSpPr>
      <dsp:spPr>
        <a:xfrm>
          <a:off x="1678494" y="690457"/>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3397FA-B2CF-4890-83ED-5E49410F729B}">
      <dsp:nvSpPr>
        <dsp:cNvPr id="0" name=""/>
        <dsp:cNvSpPr/>
      </dsp:nvSpPr>
      <dsp:spPr>
        <a:xfrm>
          <a:off x="1435502" y="777935"/>
          <a:ext cx="971968" cy="31102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lt-LT" sz="9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Ikimokyklinė jungtinė 1 grupė</a:t>
          </a:r>
          <a:endParaRPr lang="lt-LT" sz="9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mn-cs"/>
          </a:endParaRPr>
        </a:p>
        <a:p>
          <a:pPr marR="0" lvl="0" algn="ctr" defTabSz="400050" rtl="0">
            <a:lnSpc>
              <a:spcPct val="90000"/>
            </a:lnSpc>
            <a:spcBef>
              <a:spcPct val="0"/>
            </a:spcBef>
            <a:spcAft>
              <a:spcPct val="35000"/>
            </a:spcAft>
          </a:pPr>
          <a:r>
            <a:rPr lang="lt-LT" sz="9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 54 val. per savaitę, XIII modelis</a:t>
          </a:r>
        </a:p>
      </dsp:txBody>
      <dsp:txXfrm>
        <a:off x="1435502" y="777935"/>
        <a:ext cx="971968" cy="311029"/>
      </dsp:txXfrm>
    </dsp:sp>
    <dsp:sp modelId="{90378080-DF94-409C-B301-E8A79B86AB35}">
      <dsp:nvSpPr>
        <dsp:cNvPr id="0" name=""/>
        <dsp:cNvSpPr/>
      </dsp:nvSpPr>
      <dsp:spPr>
        <a:xfrm>
          <a:off x="2310273" y="1380555"/>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C8FFDA-613C-434D-B3BA-EEB4770DD2A2}">
      <dsp:nvSpPr>
        <dsp:cNvPr id="0" name=""/>
        <dsp:cNvSpPr/>
      </dsp:nvSpPr>
      <dsp:spPr>
        <a:xfrm>
          <a:off x="2310273" y="1380555"/>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3C1262-115B-46C5-AF9C-FF4D55D20C3A}">
      <dsp:nvSpPr>
        <dsp:cNvPr id="0" name=""/>
        <dsp:cNvSpPr/>
      </dsp:nvSpPr>
      <dsp:spPr>
        <a:xfrm>
          <a:off x="2067281" y="1468032"/>
          <a:ext cx="971968" cy="31102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lt-LT" sz="6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endParaRPr>
        </a:p>
      </dsp:txBody>
      <dsp:txXfrm>
        <a:off x="2067281" y="1468032"/>
        <a:ext cx="971968" cy="311029"/>
      </dsp:txXfrm>
    </dsp:sp>
    <dsp:sp modelId="{73BBBA3D-0131-4D3C-A61E-5C63258CE5D7}">
      <dsp:nvSpPr>
        <dsp:cNvPr id="0" name=""/>
        <dsp:cNvSpPr/>
      </dsp:nvSpPr>
      <dsp:spPr>
        <a:xfrm>
          <a:off x="2854576" y="690457"/>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B3044B-18CA-4962-8A9C-EE202E589CE7}">
      <dsp:nvSpPr>
        <dsp:cNvPr id="0" name=""/>
        <dsp:cNvSpPr/>
      </dsp:nvSpPr>
      <dsp:spPr>
        <a:xfrm>
          <a:off x="2854576" y="690457"/>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3392F91-0EA2-4584-B0F3-463A9DC79073}">
      <dsp:nvSpPr>
        <dsp:cNvPr id="0" name=""/>
        <dsp:cNvSpPr/>
      </dsp:nvSpPr>
      <dsp:spPr>
        <a:xfrm>
          <a:off x="2611584" y="777935"/>
          <a:ext cx="971968" cy="31102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lt-LT" sz="6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 </a:t>
          </a:r>
          <a:r>
            <a:rPr lang="lt-LT" sz="9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Priešmokyklinės  2 grupės</a:t>
          </a:r>
          <a:r>
            <a:rPr lang="lt-LT" sz="6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 </a:t>
          </a:r>
        </a:p>
        <a:p>
          <a:pPr marR="0" lvl="0" algn="ctr" defTabSz="266700" rtl="0">
            <a:lnSpc>
              <a:spcPct val="90000"/>
            </a:lnSpc>
            <a:spcBef>
              <a:spcPct val="0"/>
            </a:spcBef>
            <a:spcAft>
              <a:spcPct val="35000"/>
            </a:spcAft>
          </a:pPr>
          <a:r>
            <a:rPr lang="lt-LT" sz="9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54 val. per savaitę, VII modelis</a:t>
          </a:r>
          <a:endParaRPr lang="lt-LT" sz="6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mn-cs"/>
          </a:endParaRPr>
        </a:p>
      </dsp:txBody>
      <dsp:txXfrm>
        <a:off x="2611584" y="777935"/>
        <a:ext cx="971968" cy="311029"/>
      </dsp:txXfrm>
    </dsp:sp>
    <dsp:sp modelId="{8AC43883-EA03-44B2-B3E1-1EDA7426BC35}">
      <dsp:nvSpPr>
        <dsp:cNvPr id="0" name=""/>
        <dsp:cNvSpPr/>
      </dsp:nvSpPr>
      <dsp:spPr>
        <a:xfrm>
          <a:off x="4074396" y="690457"/>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F3E069-536C-4AA4-9E5C-7C875A42AE28}">
      <dsp:nvSpPr>
        <dsp:cNvPr id="0" name=""/>
        <dsp:cNvSpPr/>
      </dsp:nvSpPr>
      <dsp:spPr>
        <a:xfrm>
          <a:off x="4074396" y="690457"/>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C273BC-5DDF-44DD-9475-11B0570E459B}">
      <dsp:nvSpPr>
        <dsp:cNvPr id="0" name=""/>
        <dsp:cNvSpPr/>
      </dsp:nvSpPr>
      <dsp:spPr>
        <a:xfrm>
          <a:off x="3831404" y="777935"/>
          <a:ext cx="971968" cy="31102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lt-LT" sz="9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Ikimokyklinės darželio 3 grupės:</a:t>
          </a:r>
          <a:endParaRPr lang="lt-LT" sz="9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mn-cs"/>
          </a:endParaRPr>
        </a:p>
        <a:p>
          <a:pPr marR="0" lvl="0" algn="ctr" defTabSz="400050" rtl="0">
            <a:lnSpc>
              <a:spcPct val="90000"/>
            </a:lnSpc>
            <a:spcBef>
              <a:spcPct val="0"/>
            </a:spcBef>
            <a:spcAft>
              <a:spcPct val="35000"/>
            </a:spcAft>
          </a:pPr>
          <a:r>
            <a:rPr lang="lt-LT" sz="9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54 val. per savaitę, VII modelis</a:t>
          </a:r>
          <a:endParaRPr lang="lt-LT" sz="900" kern="1200" smtClean="0">
            <a:solidFill>
              <a:sysClr val="windowText" lastClr="000000">
                <a:hueOff val="0"/>
                <a:satOff val="0"/>
                <a:lumOff val="0"/>
                <a:alphaOff val="0"/>
              </a:sysClr>
            </a:solidFill>
            <a:latin typeface="Calibri" panose="020F0502020204030204"/>
            <a:ea typeface="+mn-ea"/>
            <a:cs typeface="+mn-cs"/>
          </a:endParaRPr>
        </a:p>
      </dsp:txBody>
      <dsp:txXfrm>
        <a:off x="3831404" y="777935"/>
        <a:ext cx="971968" cy="311029"/>
      </dsp:txXfrm>
    </dsp:sp>
    <dsp:sp modelId="{55D5C023-4CDE-496F-83A3-9349AD787DE9}">
      <dsp:nvSpPr>
        <dsp:cNvPr id="0" name=""/>
        <dsp:cNvSpPr/>
      </dsp:nvSpPr>
      <dsp:spPr>
        <a:xfrm>
          <a:off x="3486355" y="1380555"/>
          <a:ext cx="485984" cy="485984"/>
        </a:xfrm>
        <a:prstGeom prst="arc">
          <a:avLst>
            <a:gd name="adj1" fmla="val 13200000"/>
            <a:gd name="adj2" fmla="val 192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E10F50-EC1E-41F5-BB46-242979F3F400}">
      <dsp:nvSpPr>
        <dsp:cNvPr id="0" name=""/>
        <dsp:cNvSpPr/>
      </dsp:nvSpPr>
      <dsp:spPr>
        <a:xfrm>
          <a:off x="3486355" y="1380555"/>
          <a:ext cx="485984" cy="485984"/>
        </a:xfrm>
        <a:prstGeom prst="arc">
          <a:avLst>
            <a:gd name="adj1" fmla="val 2400000"/>
            <a:gd name="adj2" fmla="val 8400000"/>
          </a:avLst>
        </a:pr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07EE28-06DE-4AAD-919B-4A048F5C62BB}">
      <dsp:nvSpPr>
        <dsp:cNvPr id="0" name=""/>
        <dsp:cNvSpPr/>
      </dsp:nvSpPr>
      <dsp:spPr>
        <a:xfrm>
          <a:off x="3243363" y="1468032"/>
          <a:ext cx="971968" cy="31102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lt-LT" sz="9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Lopšelio 3 grupės:</a:t>
          </a:r>
          <a:endParaRPr lang="lt-LT" sz="900" b="1"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mn-cs"/>
          </a:endParaRPr>
        </a:p>
        <a:p>
          <a:pPr marR="0" lvl="0" algn="ctr" defTabSz="400050" rtl="0">
            <a:lnSpc>
              <a:spcPct val="90000"/>
            </a:lnSpc>
            <a:spcBef>
              <a:spcPct val="0"/>
            </a:spcBef>
            <a:spcAft>
              <a:spcPct val="35000"/>
            </a:spcAft>
          </a:pPr>
          <a:r>
            <a:rPr lang="lt-LT" sz="900" b="1" i="0" u="none" strike="noStrike" kern="1200" baseline="0" smtClean="0">
              <a:solidFill>
                <a:sysClr val="windowText" lastClr="000000">
                  <a:hueOff val="0"/>
                  <a:satOff val="0"/>
                  <a:lumOff val="0"/>
                  <a:alphaOff val="0"/>
                </a:sysClr>
              </a:solidFill>
              <a:latin typeface="Calibri" panose="020F0502020204030204" pitchFamily="34" charset="0"/>
              <a:ea typeface="+mn-ea"/>
              <a:cs typeface="+mn-cs"/>
            </a:rPr>
            <a:t>54 val. per savaitę, VII modelis </a:t>
          </a:r>
        </a:p>
        <a:p>
          <a:pPr marR="0" lvl="0" algn="ctr" defTabSz="400050" rtl="0">
            <a:lnSpc>
              <a:spcPct val="90000"/>
            </a:lnSpc>
            <a:spcBef>
              <a:spcPct val="0"/>
            </a:spcBef>
            <a:spcAft>
              <a:spcPct val="35000"/>
            </a:spcAft>
          </a:pPr>
          <a:endParaRPr lang="lt-LT" sz="600" b="0" i="0" u="none" strike="noStrike" kern="1200" baseline="0" smtClean="0">
            <a:solidFill>
              <a:sysClr val="windowText" lastClr="000000">
                <a:hueOff val="0"/>
                <a:satOff val="0"/>
                <a:lumOff val="0"/>
                <a:alphaOff val="0"/>
              </a:sysClr>
            </a:solidFill>
            <a:latin typeface="Times New Roman" panose="02020603050405020304" pitchFamily="18" charset="0"/>
            <a:ea typeface="+mn-ea"/>
            <a:cs typeface="+mn-cs"/>
          </a:endParaRPr>
        </a:p>
      </dsp:txBody>
      <dsp:txXfrm>
        <a:off x="3243363" y="1468032"/>
        <a:ext cx="971968" cy="31102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19017</Words>
  <Characters>10841</Characters>
  <Application>Microsoft Office Word</Application>
  <DocSecurity>0</DocSecurity>
  <Lines>90</Lines>
  <Paragraphs>59</Paragraphs>
  <ScaleCrop>false</ScaleCrop>
  <Company>diakov.net</Company>
  <LinksUpToDate>false</LinksUpToDate>
  <CharactersWithSpaces>29799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2017-04-03T12:35:00Z</dcterms:created>
  <dcterms:modified xsi:type="dcterms:W3CDTF">2017-04-03T12:35:00Z</dcterms:modified>
</cp:coreProperties>
</file>